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12" w:rsidRPr="006A2ADA" w:rsidRDefault="008C0B12" w:rsidP="006A2ADA">
      <w:pPr>
        <w:spacing w:line="360" w:lineRule="auto"/>
        <w:rPr>
          <w:rFonts w:ascii="Verdana" w:hAnsi="Verdana" w:cs="Tahoma"/>
          <w:b/>
          <w:sz w:val="21"/>
          <w:szCs w:val="21"/>
        </w:rPr>
      </w:pPr>
      <w:r w:rsidRPr="006A2ADA">
        <w:rPr>
          <w:rFonts w:ascii="Verdana" w:hAnsi="Verdana" w:cs="Tahoma"/>
          <w:b/>
          <w:sz w:val="21"/>
          <w:szCs w:val="21"/>
        </w:rPr>
        <w:t xml:space="preserve">The </w:t>
      </w:r>
      <w:smartTag w:uri="urn:schemas-microsoft-com:office:smarttags" w:element="State">
        <w:smartTag w:uri="urn:schemas-microsoft-com:office:smarttags" w:element="place">
          <w:r w:rsidRPr="006A2ADA">
            <w:rPr>
              <w:rFonts w:ascii="Verdana" w:hAnsi="Verdana" w:cs="Tahoma"/>
              <w:b/>
              <w:sz w:val="21"/>
              <w:szCs w:val="21"/>
            </w:rPr>
            <w:t>N</w:t>
          </w:r>
          <w:r w:rsidR="00F25E7E" w:rsidRPr="006A2ADA">
            <w:rPr>
              <w:rFonts w:ascii="Verdana" w:hAnsi="Verdana" w:cs="Tahoma"/>
              <w:b/>
              <w:sz w:val="21"/>
              <w:szCs w:val="21"/>
            </w:rPr>
            <w:t xml:space="preserve">ew </w:t>
          </w:r>
          <w:r w:rsidRPr="006A2ADA">
            <w:rPr>
              <w:rFonts w:ascii="Verdana" w:hAnsi="Verdana" w:cs="Tahoma"/>
              <w:b/>
              <w:sz w:val="21"/>
              <w:szCs w:val="21"/>
            </w:rPr>
            <w:t>S</w:t>
          </w:r>
          <w:r w:rsidR="00F25E7E" w:rsidRPr="006A2ADA">
            <w:rPr>
              <w:rFonts w:ascii="Verdana" w:hAnsi="Verdana" w:cs="Tahoma"/>
              <w:b/>
              <w:sz w:val="21"/>
              <w:szCs w:val="21"/>
            </w:rPr>
            <w:t xml:space="preserve">outh </w:t>
          </w:r>
          <w:r w:rsidRPr="006A2ADA">
            <w:rPr>
              <w:rFonts w:ascii="Verdana" w:hAnsi="Verdana" w:cs="Tahoma"/>
              <w:b/>
              <w:sz w:val="21"/>
              <w:szCs w:val="21"/>
            </w:rPr>
            <w:t>W</w:t>
          </w:r>
          <w:r w:rsidR="00F25E7E" w:rsidRPr="006A2ADA">
            <w:rPr>
              <w:rFonts w:ascii="Verdana" w:hAnsi="Verdana" w:cs="Tahoma"/>
              <w:b/>
              <w:sz w:val="21"/>
              <w:szCs w:val="21"/>
            </w:rPr>
            <w:t>ales</w:t>
          </w:r>
        </w:smartTag>
      </w:smartTag>
      <w:r w:rsidRPr="006A2ADA">
        <w:rPr>
          <w:rFonts w:ascii="Verdana" w:hAnsi="Verdana" w:cs="Tahoma"/>
          <w:b/>
          <w:sz w:val="21"/>
          <w:szCs w:val="21"/>
        </w:rPr>
        <w:t xml:space="preserve"> Court System</w:t>
      </w:r>
    </w:p>
    <w:p w:rsidR="008C0B12" w:rsidRPr="006A2ADA" w:rsidRDefault="008C0B12" w:rsidP="008C0B12">
      <w:pPr>
        <w:spacing w:line="360" w:lineRule="auto"/>
        <w:rPr>
          <w:rFonts w:ascii="Verdana" w:hAnsi="Verdana" w:cs="Tahoma"/>
          <w:sz w:val="17"/>
          <w:szCs w:val="17"/>
        </w:rPr>
      </w:pPr>
    </w:p>
    <w:p w:rsidR="008C0B12" w:rsidRPr="006A2ADA" w:rsidRDefault="008C0B12" w:rsidP="008C0B12">
      <w:pPr>
        <w:autoSpaceDE w:val="0"/>
        <w:autoSpaceDN w:val="0"/>
        <w:adjustRightInd w:val="0"/>
        <w:spacing w:line="360" w:lineRule="auto"/>
        <w:rPr>
          <w:rFonts w:ascii="Verdana" w:hAnsi="Verdana" w:cs="Tahoma"/>
          <w:b/>
          <w:bCs/>
          <w:i/>
          <w:iCs/>
          <w:sz w:val="17"/>
          <w:szCs w:val="17"/>
          <w:lang w:val="en-AU" w:eastAsia="en-AU"/>
        </w:rPr>
      </w:pPr>
      <w:r w:rsidRPr="006A2ADA">
        <w:rPr>
          <w:rFonts w:ascii="Verdana" w:hAnsi="Verdana" w:cs="Tahoma"/>
          <w:b/>
          <w:bCs/>
          <w:iCs/>
          <w:sz w:val="17"/>
          <w:szCs w:val="17"/>
          <w:lang w:val="en-AU" w:eastAsia="en-AU"/>
        </w:rPr>
        <w:t>1.</w:t>
      </w:r>
      <w:r w:rsidRPr="006A2ADA">
        <w:rPr>
          <w:rFonts w:ascii="Verdana" w:hAnsi="Verdana" w:cs="Tahoma"/>
          <w:b/>
          <w:bCs/>
          <w:iCs/>
          <w:sz w:val="17"/>
          <w:szCs w:val="17"/>
          <w:lang w:val="en-AU" w:eastAsia="en-AU"/>
        </w:rPr>
        <w:tab/>
      </w:r>
      <w:r w:rsidRPr="000B550C">
        <w:rPr>
          <w:rFonts w:ascii="Verdana" w:hAnsi="Verdana" w:cs="Tahoma"/>
          <w:b/>
          <w:bCs/>
          <w:iCs/>
          <w:sz w:val="17"/>
          <w:szCs w:val="17"/>
          <w:lang w:val="en-AU" w:eastAsia="en-AU"/>
        </w:rPr>
        <w:t>Uniform Civil Procedure Act 2005</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 xml:space="preserve">The </w:t>
      </w:r>
      <w:r w:rsidRPr="006A2ADA">
        <w:rPr>
          <w:rFonts w:ascii="Verdana" w:hAnsi="Verdana" w:cs="Tahoma"/>
          <w:i/>
          <w:iCs/>
          <w:sz w:val="17"/>
          <w:szCs w:val="17"/>
          <w:lang w:val="en-AU" w:eastAsia="en-AU"/>
        </w:rPr>
        <w:t xml:space="preserve">Civil Procedure Act 2005 </w:t>
      </w:r>
      <w:r w:rsidRPr="006A2ADA">
        <w:rPr>
          <w:rFonts w:ascii="Verdana" w:hAnsi="Verdana" w:cs="Tahoma"/>
          <w:sz w:val="17"/>
          <w:szCs w:val="17"/>
          <w:lang w:val="en-AU" w:eastAsia="en-AU"/>
        </w:rPr>
        <w:t xml:space="preserve">and </w:t>
      </w:r>
      <w:r w:rsidRPr="006A2ADA">
        <w:rPr>
          <w:rFonts w:ascii="Verdana" w:hAnsi="Verdana" w:cs="Tahoma"/>
          <w:i/>
          <w:iCs/>
          <w:sz w:val="17"/>
          <w:szCs w:val="17"/>
          <w:lang w:val="en-AU" w:eastAsia="en-AU"/>
        </w:rPr>
        <w:t xml:space="preserve">Uniform Civil Procedure Rules </w:t>
      </w:r>
      <w:r w:rsidRPr="006A2ADA">
        <w:rPr>
          <w:rFonts w:ascii="Verdana" w:hAnsi="Verdana" w:cs="Tahoma"/>
          <w:sz w:val="17"/>
          <w:szCs w:val="17"/>
          <w:lang w:val="en-AU" w:eastAsia="en-AU"/>
        </w:rPr>
        <w:t>consolidated provisions about</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civil procedure that were found in a number of</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different Acts and rules, into a single Act and set</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of rules. The Rules introduced common rules and</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procedures in civil proceedings in the Supreme,</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District and Local Courts.</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The main changes in terms of structure are moving directions and case management rules to an early position in the CP Act. This step was taken to embody the overriding purpose to give effect to the requirement of a just, quick and cheap disposal of proceedings.</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Apart from the above alteration to structure the order of the Supreme Court Rules and the District Court Rules has essentially been maintained, that is, the process from beginning to end. This has been done to keep the rules both logical and familiar to users.</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 xml:space="preserve">The CP Act gives a statutory basis for the issue of practice notes and regulates the relationship between itself, the CP rules and the remaining balance of the present rules. </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A simplified set of common forms are used in all courts. This helps to give effect to cost minimisation. Practitioners will only have to keep one set of forms on their records and fill the required categories depending on which court they are in.</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Simple common forms address a number of concerns that have been raised about existing forms and will meet future electronic filing req</w:t>
      </w:r>
      <w:r w:rsidR="008032F7" w:rsidRPr="006A2ADA">
        <w:rPr>
          <w:rFonts w:ascii="Verdana" w:hAnsi="Verdana" w:cs="Tahoma"/>
          <w:sz w:val="17"/>
          <w:szCs w:val="17"/>
          <w:lang/>
        </w:rPr>
        <w:t>uirements.  The forms are availa</w:t>
      </w:r>
      <w:r w:rsidRPr="006A2ADA">
        <w:rPr>
          <w:rFonts w:ascii="Verdana" w:hAnsi="Verdana" w:cs="Tahoma"/>
          <w:sz w:val="17"/>
          <w:szCs w:val="17"/>
          <w:lang/>
        </w:rPr>
        <w:t>ble on court websites.</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rPr>
        <w:t>In all three courts there are to be two forms only of originating process, that is, statement of claim and summons. Additionally the rules as to pleadings and discovery and interrogatories are maintained.</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0"/>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color w:val="000000"/>
          <w:sz w:val="17"/>
          <w:szCs w:val="17"/>
        </w:rPr>
        <w:t xml:space="preserve">The </w:t>
      </w:r>
      <w:r w:rsidRPr="006A2ADA">
        <w:rPr>
          <w:rFonts w:ascii="Verdana" w:hAnsi="Verdana" w:cs="Tahoma"/>
          <w:i/>
          <w:color w:val="000000"/>
          <w:sz w:val="17"/>
          <w:szCs w:val="17"/>
        </w:rPr>
        <w:t>Civil Procedure Act</w:t>
      </w:r>
      <w:r w:rsidRPr="006A2ADA">
        <w:rPr>
          <w:rFonts w:ascii="Verdana" w:hAnsi="Verdana" w:cs="Tahoma"/>
          <w:color w:val="000000"/>
          <w:sz w:val="17"/>
          <w:szCs w:val="17"/>
        </w:rPr>
        <w:t xml:space="preserve"> </w:t>
      </w:r>
      <w:r w:rsidRPr="006A2ADA">
        <w:rPr>
          <w:rFonts w:ascii="Verdana" w:hAnsi="Verdana" w:cs="Tahoma"/>
          <w:i/>
          <w:color w:val="000000"/>
          <w:sz w:val="17"/>
          <w:szCs w:val="17"/>
        </w:rPr>
        <w:t>2005</w:t>
      </w:r>
      <w:r w:rsidRPr="006A2ADA">
        <w:rPr>
          <w:rFonts w:ascii="Verdana" w:hAnsi="Verdana" w:cs="Tahoma"/>
          <w:color w:val="000000"/>
          <w:sz w:val="17"/>
          <w:szCs w:val="17"/>
        </w:rPr>
        <w:t xml:space="preserve"> and </w:t>
      </w:r>
      <w:r w:rsidRPr="006A2ADA">
        <w:rPr>
          <w:rFonts w:ascii="Verdana" w:hAnsi="Verdana" w:cs="Tahoma"/>
          <w:i/>
          <w:color w:val="000000"/>
          <w:sz w:val="17"/>
          <w:szCs w:val="17"/>
        </w:rPr>
        <w:t>Uniform Civil Procedure Rules</w:t>
      </w:r>
      <w:r w:rsidRPr="006A2ADA">
        <w:rPr>
          <w:rFonts w:ascii="Verdana" w:hAnsi="Verdana" w:cs="Tahoma"/>
          <w:color w:val="000000"/>
          <w:sz w:val="17"/>
          <w:szCs w:val="17"/>
        </w:rPr>
        <w:t xml:space="preserve"> </w:t>
      </w:r>
      <w:r w:rsidRPr="006A2ADA">
        <w:rPr>
          <w:rFonts w:ascii="Verdana" w:hAnsi="Verdana" w:cs="Tahoma"/>
          <w:i/>
          <w:color w:val="000000"/>
          <w:sz w:val="17"/>
          <w:szCs w:val="17"/>
        </w:rPr>
        <w:t>2005</w:t>
      </w:r>
      <w:r w:rsidRPr="006A2ADA">
        <w:rPr>
          <w:rFonts w:ascii="Verdana" w:hAnsi="Verdana" w:cs="Tahoma"/>
          <w:color w:val="000000"/>
          <w:sz w:val="17"/>
          <w:szCs w:val="17"/>
        </w:rPr>
        <w:t xml:space="preserve"> represent an important advance in the conduct of civil litigation in </w:t>
      </w:r>
      <w:smartTag w:uri="urn:schemas-microsoft-com:office:smarttags" w:element="State">
        <w:smartTag w:uri="urn:schemas-microsoft-com:office:smarttags" w:element="place">
          <w:r w:rsidRPr="006A2ADA">
            <w:rPr>
              <w:rFonts w:ascii="Verdana" w:hAnsi="Verdana" w:cs="Tahoma"/>
              <w:color w:val="000000"/>
              <w:sz w:val="17"/>
              <w:szCs w:val="17"/>
            </w:rPr>
            <w:t>New South Wales</w:t>
          </w:r>
        </w:smartTag>
      </w:smartTag>
      <w:r w:rsidRPr="006A2ADA">
        <w:rPr>
          <w:rFonts w:ascii="Verdana" w:hAnsi="Verdana" w:cs="Tahoma"/>
          <w:color w:val="000000"/>
          <w:sz w:val="17"/>
          <w:szCs w:val="17"/>
        </w:rPr>
        <w:t>. For the first time, one set of rules governs the general run of civil proceedings in the Supreme, District and Local Courts and the Dust Diseases Tribunal.</w:t>
      </w:r>
    </w:p>
    <w:p w:rsidR="008C0B12" w:rsidRPr="006A2ADA" w:rsidRDefault="008C0B12" w:rsidP="008C0B12">
      <w:pPr>
        <w:spacing w:line="360" w:lineRule="auto"/>
        <w:rPr>
          <w:rFonts w:ascii="Verdana" w:hAnsi="Verdana" w:cs="Tahoma"/>
          <w:b/>
          <w:i/>
          <w:sz w:val="17"/>
          <w:szCs w:val="17"/>
          <w:u w:val="single"/>
        </w:rPr>
      </w:pPr>
    </w:p>
    <w:p w:rsidR="008C0B12" w:rsidRPr="006A2ADA" w:rsidRDefault="008C0B12" w:rsidP="008C0B12">
      <w:pPr>
        <w:spacing w:line="360" w:lineRule="auto"/>
        <w:rPr>
          <w:rFonts w:ascii="Verdana" w:hAnsi="Verdana" w:cs="Tahoma"/>
          <w:b/>
          <w:sz w:val="17"/>
          <w:szCs w:val="17"/>
        </w:rPr>
      </w:pPr>
      <w:r w:rsidRPr="006A2ADA">
        <w:rPr>
          <w:rFonts w:ascii="Verdana" w:hAnsi="Verdana" w:cs="Tahoma"/>
          <w:b/>
          <w:sz w:val="17"/>
          <w:szCs w:val="17"/>
        </w:rPr>
        <w:t>2.</w:t>
      </w:r>
      <w:r w:rsidRPr="006A2ADA">
        <w:rPr>
          <w:rFonts w:ascii="Verdana" w:hAnsi="Verdana" w:cs="Tahoma"/>
          <w:b/>
          <w:sz w:val="17"/>
          <w:szCs w:val="17"/>
        </w:rPr>
        <w:tab/>
        <w:t xml:space="preserve">The </w:t>
      </w:r>
      <w:smartTag w:uri="urn:schemas-microsoft-com:office:smarttags" w:element="Street">
        <w:smartTag w:uri="urn:schemas-microsoft-com:office:smarttags" w:element="address">
          <w:r w:rsidRPr="006A2ADA">
            <w:rPr>
              <w:rFonts w:ascii="Verdana" w:hAnsi="Verdana" w:cs="Tahoma"/>
              <w:b/>
              <w:sz w:val="17"/>
              <w:szCs w:val="17"/>
            </w:rPr>
            <w:t>Local Court</w:t>
          </w:r>
        </w:smartTag>
      </w:smartTag>
    </w:p>
    <w:p w:rsidR="008C0B12" w:rsidRPr="006A2ADA" w:rsidRDefault="008C0B12" w:rsidP="008C0B12">
      <w:pPr>
        <w:spacing w:line="360" w:lineRule="auto"/>
        <w:rPr>
          <w:rFonts w:ascii="Verdana" w:hAnsi="Verdana" w:cs="Tahoma"/>
          <w:b/>
          <w:sz w:val="17"/>
          <w:szCs w:val="17"/>
          <w:u w:val="single"/>
        </w:rPr>
      </w:pPr>
    </w:p>
    <w:p w:rsidR="008C0B12" w:rsidRPr="006A2ADA" w:rsidRDefault="00024081" w:rsidP="00024081">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sz w:val="17"/>
          <w:szCs w:val="17"/>
          <w:lang w:val="en-AU" w:eastAsia="en-AU"/>
        </w:rPr>
        <w:tab/>
      </w:r>
      <w:r w:rsidR="008C0B12" w:rsidRPr="006A2ADA">
        <w:rPr>
          <w:rFonts w:ascii="Verdana" w:hAnsi="Verdana" w:cs="Tahoma"/>
          <w:sz w:val="17"/>
          <w:szCs w:val="17"/>
          <w:lang w:val="en-AU" w:eastAsia="en-AU"/>
        </w:rPr>
        <w:t xml:space="preserve">As the busiest and largest Court in </w:t>
      </w:r>
      <w:smartTag w:uri="urn:schemas-microsoft-com:office:smarttags" w:element="country-region">
        <w:smartTag w:uri="urn:schemas-microsoft-com:office:smarttags" w:element="place">
          <w:r w:rsidR="008C0B12" w:rsidRPr="006A2ADA">
            <w:rPr>
              <w:rFonts w:ascii="Verdana" w:hAnsi="Verdana" w:cs="Tahoma"/>
              <w:sz w:val="17"/>
              <w:szCs w:val="17"/>
              <w:lang w:val="en-AU" w:eastAsia="en-AU"/>
            </w:rPr>
            <w:t>Australia</w:t>
          </w:r>
        </w:smartTag>
      </w:smartTag>
      <w:r w:rsidR="008C0B12" w:rsidRPr="006A2ADA">
        <w:rPr>
          <w:rFonts w:ascii="Verdana" w:hAnsi="Verdana" w:cs="Tahoma"/>
          <w:sz w:val="17"/>
          <w:szCs w:val="17"/>
          <w:lang w:val="en-AU" w:eastAsia="en-AU"/>
        </w:rPr>
        <w:t xml:space="preserve">, the </w:t>
      </w:r>
      <w:smartTag w:uri="urn:schemas-microsoft-com:office:smarttags" w:element="Street">
        <w:smartTag w:uri="urn:schemas-microsoft-com:office:smarttags" w:element="address">
          <w:r w:rsidR="008C0B12" w:rsidRPr="006A2ADA">
            <w:rPr>
              <w:rFonts w:ascii="Verdana" w:hAnsi="Verdana" w:cs="Tahoma"/>
              <w:sz w:val="17"/>
              <w:szCs w:val="17"/>
              <w:lang w:val="en-AU" w:eastAsia="en-AU"/>
            </w:rPr>
            <w:t>New South Wales Local Court</w:t>
          </w:r>
        </w:smartTag>
      </w:smartTag>
      <w:r w:rsidR="008C0B12" w:rsidRPr="006A2ADA">
        <w:rPr>
          <w:rFonts w:ascii="Verdana" w:hAnsi="Verdana" w:cs="Tahoma"/>
          <w:sz w:val="17"/>
          <w:szCs w:val="17"/>
          <w:lang w:val="en-AU" w:eastAsia="en-AU"/>
        </w:rPr>
        <w:t xml:space="preserve"> is the primary interface between the community and the legal system in this State. </w:t>
      </w:r>
    </w:p>
    <w:p w:rsidR="008C0B12" w:rsidRPr="006A2ADA" w:rsidRDefault="008C0B12" w:rsidP="008C0B12">
      <w:pPr>
        <w:spacing w:line="360" w:lineRule="auto"/>
        <w:rPr>
          <w:rFonts w:ascii="Verdana" w:hAnsi="Verdana" w:cs="Tahoma"/>
          <w:sz w:val="17"/>
          <w:szCs w:val="17"/>
          <w:lang w:val="en-AU" w:eastAsia="en-AU"/>
        </w:rPr>
      </w:pPr>
    </w:p>
    <w:p w:rsidR="008C0B12" w:rsidRPr="006A2ADA" w:rsidRDefault="008C0B12" w:rsidP="008C0B12">
      <w:pPr>
        <w:spacing w:line="360" w:lineRule="auto"/>
        <w:rPr>
          <w:rFonts w:ascii="Verdana" w:hAnsi="Verdana" w:cs="Tahoma"/>
          <w:b/>
          <w:sz w:val="17"/>
          <w:szCs w:val="17"/>
          <w:lang w:val="en-AU" w:eastAsia="en-AU"/>
        </w:rPr>
      </w:pPr>
      <w:r w:rsidRPr="006A2ADA">
        <w:rPr>
          <w:rFonts w:ascii="Verdana" w:hAnsi="Verdana" w:cs="Tahoma"/>
          <w:b/>
          <w:sz w:val="17"/>
          <w:szCs w:val="17"/>
          <w:lang w:val="en-AU" w:eastAsia="en-AU"/>
        </w:rPr>
        <w:t>2.1</w:t>
      </w:r>
      <w:r w:rsidRPr="006A2ADA">
        <w:rPr>
          <w:rFonts w:ascii="Verdana" w:hAnsi="Verdana" w:cs="Tahoma"/>
          <w:b/>
          <w:sz w:val="17"/>
          <w:szCs w:val="17"/>
          <w:lang w:val="en-AU" w:eastAsia="en-AU"/>
        </w:rPr>
        <w:tab/>
        <w:t xml:space="preserve">Jurisdiction </w:t>
      </w:r>
    </w:p>
    <w:p w:rsidR="008C0B12" w:rsidRPr="006A2ADA" w:rsidRDefault="008C0B12" w:rsidP="008C0B12">
      <w:pPr>
        <w:spacing w:line="360" w:lineRule="auto"/>
        <w:rPr>
          <w:rFonts w:ascii="Verdana" w:hAnsi="Verdana" w:cs="Tahoma"/>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b/>
          <w:sz w:val="17"/>
          <w:szCs w:val="17"/>
          <w:lang w:val="en-AU" w:eastAsia="en-AU"/>
        </w:rPr>
        <w:t>2.2</w:t>
      </w:r>
      <w:r w:rsidRPr="006A2ADA">
        <w:rPr>
          <w:rFonts w:ascii="Verdana" w:hAnsi="Verdana" w:cs="Tahoma"/>
          <w:sz w:val="17"/>
          <w:szCs w:val="17"/>
          <w:lang w:val="en-AU" w:eastAsia="en-AU"/>
        </w:rPr>
        <w:tab/>
        <w:t xml:space="preserve">The Local Court has a broad civil jurisdiction. The Court deals with civil matters with a monetary value of up to $60,000. The Small Claims Division deals with claims up to the </w:t>
      </w:r>
      <w:r w:rsidRPr="006A2ADA">
        <w:rPr>
          <w:rFonts w:ascii="Verdana" w:hAnsi="Verdana" w:cs="Tahoma"/>
          <w:sz w:val="17"/>
          <w:szCs w:val="17"/>
          <w:lang w:val="en-AU" w:eastAsia="en-AU"/>
        </w:rPr>
        <w:lastRenderedPageBreak/>
        <w:t xml:space="preserve">amount of $10,000, whilst the General Division deals with claims between $10,000 and $60,000.  </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3"/>
        </w:numPr>
        <w:tabs>
          <w:tab w:val="left" w:pos="720"/>
        </w:tabs>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The Court, in its civil jurisdiction predominately deals with small property damage claims and debt recovery claims.  However, these can become costly should a matter continually be adjourned while the Magistrate hear</w:t>
      </w:r>
      <w:r w:rsidR="006D1466" w:rsidRPr="006A2ADA">
        <w:rPr>
          <w:rFonts w:ascii="Verdana" w:hAnsi="Verdana" w:cs="Tahoma"/>
          <w:sz w:val="17"/>
          <w:szCs w:val="17"/>
          <w:lang w:val="en-AU" w:eastAsia="en-AU"/>
        </w:rPr>
        <w:t>s</w:t>
      </w:r>
      <w:r w:rsidRPr="006A2ADA">
        <w:rPr>
          <w:rFonts w:ascii="Verdana" w:hAnsi="Verdana" w:cs="Tahoma"/>
          <w:sz w:val="17"/>
          <w:szCs w:val="17"/>
          <w:lang w:val="en-AU" w:eastAsia="en-AU"/>
        </w:rPr>
        <w:t xml:space="preserve"> criminal matters.  In addition, matters can be delayed as it is not uncommon for litigants to be unrepresented.</w:t>
      </w:r>
    </w:p>
    <w:p w:rsidR="008C0B12" w:rsidRPr="006A2ADA" w:rsidRDefault="008C0B12" w:rsidP="008C0B12">
      <w:pPr>
        <w:autoSpaceDE w:val="0"/>
        <w:autoSpaceDN w:val="0"/>
        <w:adjustRightInd w:val="0"/>
        <w:spacing w:line="360" w:lineRule="auto"/>
        <w:rPr>
          <w:rFonts w:ascii="Verdana" w:hAnsi="Verdana" w:cs="Tahoma"/>
          <w:sz w:val="17"/>
          <w:szCs w:val="17"/>
          <w:lang/>
        </w:rPr>
      </w:pP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b/>
          <w:sz w:val="17"/>
          <w:szCs w:val="17"/>
          <w:lang/>
        </w:rPr>
        <w:t>3.</w:t>
      </w:r>
      <w:r w:rsidRPr="006A2ADA">
        <w:rPr>
          <w:rFonts w:ascii="Verdana" w:hAnsi="Verdana" w:cs="Tahoma"/>
          <w:b/>
          <w:sz w:val="17"/>
          <w:szCs w:val="17"/>
          <w:lang/>
        </w:rPr>
        <w:tab/>
        <w:t>District Court</w:t>
      </w:r>
    </w:p>
    <w:p w:rsidR="008C0B12" w:rsidRPr="006A2ADA" w:rsidRDefault="008C0B12" w:rsidP="008C0B12">
      <w:pPr>
        <w:autoSpaceDE w:val="0"/>
        <w:autoSpaceDN w:val="0"/>
        <w:adjustRightInd w:val="0"/>
        <w:spacing w:line="360" w:lineRule="auto"/>
        <w:rPr>
          <w:rFonts w:ascii="Verdana" w:hAnsi="Verdana" w:cs="Tahoma"/>
          <w:b/>
          <w:bCs/>
          <w:i/>
          <w:iCs/>
          <w:sz w:val="17"/>
          <w:szCs w:val="17"/>
          <w:lang w:val="en-AU" w:eastAsia="en-AU"/>
        </w:rPr>
      </w:pPr>
    </w:p>
    <w:p w:rsidR="008C0B12" w:rsidRPr="006A2ADA" w:rsidRDefault="008C0B12" w:rsidP="008C0B12">
      <w:pPr>
        <w:autoSpaceDE w:val="0"/>
        <w:autoSpaceDN w:val="0"/>
        <w:adjustRightInd w:val="0"/>
        <w:spacing w:line="360" w:lineRule="auto"/>
        <w:rPr>
          <w:rFonts w:ascii="Verdana" w:hAnsi="Verdana" w:cs="Tahoma"/>
          <w:bCs/>
          <w:iCs/>
          <w:sz w:val="17"/>
          <w:szCs w:val="17"/>
          <w:u w:val="single"/>
          <w:lang w:val="en-AU" w:eastAsia="en-AU"/>
        </w:rPr>
      </w:pPr>
      <w:r w:rsidRPr="006A2ADA">
        <w:rPr>
          <w:rFonts w:ascii="Verdana" w:hAnsi="Verdana" w:cs="Tahoma"/>
          <w:b/>
          <w:bCs/>
          <w:iCs/>
          <w:sz w:val="17"/>
          <w:szCs w:val="17"/>
          <w:lang w:val="en-AU" w:eastAsia="en-AU"/>
        </w:rPr>
        <w:tab/>
      </w:r>
      <w:r w:rsidRPr="006A2ADA">
        <w:rPr>
          <w:rFonts w:ascii="Verdana" w:hAnsi="Verdana" w:cs="Tahoma"/>
          <w:bCs/>
          <w:iCs/>
          <w:sz w:val="17"/>
          <w:szCs w:val="17"/>
          <w:u w:val="single"/>
          <w:lang w:val="en-AU" w:eastAsia="en-AU"/>
        </w:rPr>
        <w:t>Jurisdiction</w:t>
      </w:r>
    </w:p>
    <w:p w:rsidR="008C0B12" w:rsidRPr="006A2ADA" w:rsidRDefault="008C0B12" w:rsidP="008C0B12">
      <w:pPr>
        <w:autoSpaceDE w:val="0"/>
        <w:autoSpaceDN w:val="0"/>
        <w:adjustRightInd w:val="0"/>
        <w:spacing w:line="360" w:lineRule="auto"/>
        <w:rPr>
          <w:rFonts w:ascii="Verdana" w:hAnsi="Verdana" w:cs="Tahoma"/>
          <w:b/>
          <w:bCs/>
          <w:i/>
          <w:iCs/>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b/>
          <w:sz w:val="17"/>
          <w:szCs w:val="17"/>
          <w:lang w:val="en-AU" w:eastAsia="en-AU"/>
        </w:rPr>
        <w:t>3.1</w:t>
      </w:r>
      <w:r w:rsidRPr="006A2ADA">
        <w:rPr>
          <w:rFonts w:ascii="Verdana" w:hAnsi="Verdana" w:cs="Tahoma"/>
          <w:b/>
          <w:sz w:val="17"/>
          <w:szCs w:val="17"/>
          <w:lang w:val="en-AU" w:eastAsia="en-AU"/>
        </w:rPr>
        <w:tab/>
      </w:r>
      <w:r w:rsidRPr="006A2ADA">
        <w:rPr>
          <w:rFonts w:ascii="Verdana" w:hAnsi="Verdana" w:cs="Tahoma"/>
          <w:sz w:val="17"/>
          <w:szCs w:val="17"/>
          <w:lang w:val="en-AU" w:eastAsia="en-AU"/>
        </w:rPr>
        <w:t>The District Court is the intermediate Court in the State’s judicial hierarchy. It is a trial court and has an appellate jurisdiction. In addition, the Judges of the Court preside over a range of tribunals. In its civil jurisdiction the District Court may deal with:</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0"/>
          <w:numId w:val="6"/>
        </w:numPr>
        <w:tabs>
          <w:tab w:val="clear" w:pos="720"/>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All motor accident cases, irrespective of the amount claimed;</w:t>
      </w:r>
    </w:p>
    <w:p w:rsidR="008C0B12" w:rsidRPr="006A2ADA" w:rsidRDefault="008C0B12" w:rsidP="008C0B12">
      <w:pPr>
        <w:numPr>
          <w:ilvl w:val="0"/>
          <w:numId w:val="6"/>
        </w:numPr>
        <w:tabs>
          <w:tab w:val="clear" w:pos="720"/>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Other claims to a maximum amount of </w:t>
      </w:r>
      <w:r w:rsidRPr="006A2ADA">
        <w:rPr>
          <w:rFonts w:ascii="Verdana" w:hAnsi="Verdana" w:cs="Tahoma"/>
          <w:sz w:val="17"/>
          <w:szCs w:val="17"/>
        </w:rPr>
        <w:t>$750,000, although it may deal with matters exceeding this amount if the parties consent.</w:t>
      </w:r>
    </w:p>
    <w:p w:rsidR="008C0B12" w:rsidRPr="006A2ADA" w:rsidRDefault="008C0B12" w:rsidP="008C0B12">
      <w:pPr>
        <w:autoSpaceDE w:val="0"/>
        <w:autoSpaceDN w:val="0"/>
        <w:adjustRightInd w:val="0"/>
        <w:spacing w:line="360" w:lineRule="auto"/>
        <w:ind w:left="360"/>
        <w:rPr>
          <w:rFonts w:ascii="Verdana" w:hAnsi="Verdana" w:cs="Tahoma"/>
          <w:sz w:val="17"/>
          <w:szCs w:val="17"/>
          <w:lang w:val="en-AU" w:eastAsia="en-AU"/>
        </w:rPr>
      </w:pPr>
    </w:p>
    <w:p w:rsidR="008C0B12" w:rsidRPr="006A2ADA" w:rsidRDefault="008C0B12" w:rsidP="00377B62">
      <w:pPr>
        <w:autoSpaceDE w:val="0"/>
        <w:autoSpaceDN w:val="0"/>
        <w:adjustRightInd w:val="0"/>
        <w:spacing w:line="360" w:lineRule="auto"/>
        <w:ind w:firstLine="720"/>
        <w:rPr>
          <w:rFonts w:ascii="Verdana" w:hAnsi="Verdana" w:cs="Tahoma"/>
          <w:bCs/>
          <w:iCs/>
          <w:sz w:val="17"/>
          <w:szCs w:val="17"/>
          <w:u w:val="single"/>
          <w:lang w:val="en-AU" w:eastAsia="en-AU"/>
        </w:rPr>
      </w:pPr>
      <w:r w:rsidRPr="006A2ADA">
        <w:rPr>
          <w:rFonts w:ascii="Verdana" w:hAnsi="Verdana" w:cs="Tahoma"/>
          <w:bCs/>
          <w:iCs/>
          <w:sz w:val="17"/>
          <w:szCs w:val="17"/>
          <w:u w:val="single"/>
          <w:lang w:val="en-AU" w:eastAsia="en-AU"/>
        </w:rPr>
        <w:t>Civil Practice Note 1</w:t>
      </w:r>
    </w:p>
    <w:p w:rsidR="008C0B12" w:rsidRPr="006A2ADA" w:rsidRDefault="008C0B12" w:rsidP="008C0B12">
      <w:pPr>
        <w:autoSpaceDE w:val="0"/>
        <w:autoSpaceDN w:val="0"/>
        <w:adjustRightInd w:val="0"/>
        <w:spacing w:line="360" w:lineRule="auto"/>
        <w:rPr>
          <w:rFonts w:ascii="Verdana" w:hAnsi="Verdana" w:cs="Tahoma"/>
          <w:b/>
          <w:bCs/>
          <w:i/>
          <w:iCs/>
          <w:sz w:val="17"/>
          <w:szCs w:val="17"/>
          <w:lang w:val="en-AU" w:eastAsia="en-AU"/>
        </w:rPr>
      </w:pPr>
    </w:p>
    <w:p w:rsidR="008C0B12" w:rsidRPr="006A2ADA" w:rsidRDefault="008C0B12" w:rsidP="00132318">
      <w:pPr>
        <w:numPr>
          <w:ilvl w:val="1"/>
          <w:numId w:val="17"/>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 xml:space="preserve">Civil Practice Note 1 provides that parties should expect to be allocated a trial date within 12 months of commencement of proceedings. Parties must plan to meet this time standard. </w:t>
      </w:r>
    </w:p>
    <w:p w:rsidR="00132318" w:rsidRPr="006A2ADA" w:rsidRDefault="00132318" w:rsidP="00132318">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132318">
      <w:pPr>
        <w:numPr>
          <w:ilvl w:val="1"/>
          <w:numId w:val="17"/>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Briefly, the Practice Note provides:</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The plaintiff must serve a timetable for the conduct of the case on the defendant with the statement of claim;</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Any proposed amendments to the timetable by the defendant must be served on the plaintiff at least 7 days before the Pre-Trial Conference;</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A Pre-trial Conference, which will entail an in depth review of the case, will be held 3 months after commencement;</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Directions and orders will be made at the Pre-Trial Conference, which must be complied with or otherwise it may lead to cost orders;</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A Status Conference will take place 7 months after commencement and parties should be ready to take a trial or arbitration date;</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The trial date allocated will generally be within 1 to 3 months of the Status Conference;</w:t>
      </w:r>
    </w:p>
    <w:p w:rsidR="008C0B12" w:rsidRPr="006A2ADA" w:rsidRDefault="00657BA1"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At</w:t>
      </w:r>
      <w:r w:rsidR="008C0B12" w:rsidRPr="006A2ADA">
        <w:rPr>
          <w:rFonts w:ascii="Verdana" w:hAnsi="Verdana" w:cs="Tahoma"/>
          <w:sz w:val="17"/>
          <w:szCs w:val="17"/>
          <w:lang w:val="en-AU" w:eastAsia="en-AU"/>
        </w:rPr>
        <w:t xml:space="preserve"> any stage a case may be referred to a directions hearing before the List Judge or the Judicial Registrar;</w:t>
      </w:r>
    </w:p>
    <w:p w:rsidR="008C0B12" w:rsidRPr="006A2ADA" w:rsidRDefault="008C0B12" w:rsidP="008C0B12">
      <w:pPr>
        <w:numPr>
          <w:ilvl w:val="0"/>
          <w:numId w:val="7"/>
        </w:num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The Court will only grant adjournment applications where there are very good reasons.</w:t>
      </w:r>
    </w:p>
    <w:p w:rsidR="00132318" w:rsidRPr="006A2ADA" w:rsidRDefault="00132318"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6A2ADA" w:rsidP="00132318">
      <w:pPr>
        <w:autoSpaceDE w:val="0"/>
        <w:autoSpaceDN w:val="0"/>
        <w:adjustRightInd w:val="0"/>
        <w:spacing w:line="360" w:lineRule="auto"/>
        <w:ind w:firstLine="720"/>
        <w:rPr>
          <w:rFonts w:ascii="Verdana" w:hAnsi="Verdana" w:cs="Tahoma"/>
          <w:bCs/>
          <w:i/>
          <w:iCs/>
          <w:sz w:val="17"/>
          <w:szCs w:val="17"/>
          <w:u w:val="single"/>
          <w:lang w:val="en-AU" w:eastAsia="en-AU"/>
        </w:rPr>
      </w:pPr>
      <w:r>
        <w:rPr>
          <w:rFonts w:ascii="Verdana" w:hAnsi="Verdana" w:cs="Tahoma"/>
          <w:bCs/>
          <w:iCs/>
          <w:sz w:val="17"/>
          <w:szCs w:val="17"/>
          <w:u w:val="single"/>
          <w:lang w:val="en-AU" w:eastAsia="en-AU"/>
        </w:rPr>
        <w:br w:type="page"/>
      </w:r>
      <w:r w:rsidR="008C0B12" w:rsidRPr="006A2ADA">
        <w:rPr>
          <w:rFonts w:ascii="Verdana" w:hAnsi="Verdana" w:cs="Tahoma"/>
          <w:bCs/>
          <w:iCs/>
          <w:sz w:val="17"/>
          <w:szCs w:val="17"/>
          <w:u w:val="single"/>
          <w:lang w:val="en-AU" w:eastAsia="en-AU"/>
        </w:rPr>
        <w:lastRenderedPageBreak/>
        <w:t>Alternative Dispute Resolution</w:t>
      </w:r>
    </w:p>
    <w:p w:rsidR="008C0B12" w:rsidRPr="006A2ADA" w:rsidRDefault="008C0B12" w:rsidP="008C0B12">
      <w:pPr>
        <w:autoSpaceDE w:val="0"/>
        <w:autoSpaceDN w:val="0"/>
        <w:adjustRightInd w:val="0"/>
        <w:spacing w:line="360" w:lineRule="auto"/>
        <w:rPr>
          <w:rFonts w:ascii="Verdana" w:hAnsi="Verdana" w:cs="Tahoma"/>
          <w:b/>
          <w:bCs/>
          <w:i/>
          <w:iCs/>
          <w:sz w:val="17"/>
          <w:szCs w:val="17"/>
          <w:lang w:val="en-AU" w:eastAsia="en-AU"/>
        </w:rPr>
      </w:pPr>
    </w:p>
    <w:p w:rsidR="008C0B12" w:rsidRPr="006A2ADA" w:rsidRDefault="008C0B12" w:rsidP="00132318">
      <w:pPr>
        <w:numPr>
          <w:ilvl w:val="1"/>
          <w:numId w:val="17"/>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Practice Note 1 stresses that the Court proposes to continue to finalise as many matters as possible through alternative dispute resolution systems. In appropriate cases the Court will refer a matter to arbitration or mediation.</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7"/>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The Court’s ideal time standard for civil cases is to achieve a 90% disposition rate within 12 months of commencement, and 100% within 2 years.</w:t>
      </w:r>
    </w:p>
    <w:p w:rsidR="008C0B12" w:rsidRPr="006A2ADA" w:rsidRDefault="008C0B12" w:rsidP="008C0B12">
      <w:pPr>
        <w:pStyle w:val="NormalWeb"/>
        <w:spacing w:line="360" w:lineRule="auto"/>
        <w:rPr>
          <w:rFonts w:ascii="Verdana" w:hAnsi="Verdana" w:cs="Tahoma"/>
          <w:b/>
          <w:sz w:val="17"/>
          <w:szCs w:val="17"/>
          <w:u w:val="single"/>
          <w:lang/>
        </w:rPr>
      </w:pPr>
      <w:r w:rsidRPr="006A2ADA">
        <w:rPr>
          <w:rFonts w:ascii="Verdana" w:hAnsi="Verdana" w:cs="Tahoma"/>
          <w:b/>
          <w:sz w:val="17"/>
          <w:szCs w:val="17"/>
          <w:lang/>
        </w:rPr>
        <w:t>4.</w:t>
      </w:r>
      <w:r w:rsidRPr="006A2ADA">
        <w:rPr>
          <w:rFonts w:ascii="Verdana" w:hAnsi="Verdana" w:cs="Tahoma"/>
          <w:b/>
          <w:sz w:val="17"/>
          <w:szCs w:val="17"/>
          <w:lang/>
        </w:rPr>
        <w:tab/>
      </w:r>
      <w:r w:rsidRPr="006A2ADA">
        <w:rPr>
          <w:rFonts w:ascii="Verdana" w:hAnsi="Verdana" w:cs="Tahoma"/>
          <w:b/>
          <w:sz w:val="17"/>
          <w:szCs w:val="17"/>
          <w:u w:val="single"/>
          <w:lang/>
        </w:rPr>
        <w:t>Supreme Court</w:t>
      </w:r>
    </w:p>
    <w:p w:rsidR="008C0B12" w:rsidRPr="006A2ADA" w:rsidRDefault="008C0B12" w:rsidP="008C0B12">
      <w:pPr>
        <w:pStyle w:val="NormalWeb"/>
        <w:spacing w:line="360" w:lineRule="auto"/>
        <w:ind w:firstLine="720"/>
        <w:rPr>
          <w:rFonts w:ascii="Verdana" w:hAnsi="Verdana" w:cs="Tahoma"/>
          <w:sz w:val="17"/>
          <w:szCs w:val="17"/>
          <w:u w:val="single"/>
          <w:lang/>
        </w:rPr>
      </w:pPr>
      <w:r w:rsidRPr="006A2ADA">
        <w:rPr>
          <w:rFonts w:ascii="Verdana" w:hAnsi="Verdana" w:cs="Tahoma"/>
          <w:sz w:val="17"/>
          <w:szCs w:val="17"/>
          <w:u w:val="single"/>
          <w:lang/>
        </w:rPr>
        <w:t>Jurisdiction</w:t>
      </w:r>
    </w:p>
    <w:p w:rsidR="008C0B12" w:rsidRPr="006A2ADA" w:rsidRDefault="008C0B12" w:rsidP="008C0B12">
      <w:pPr>
        <w:pStyle w:val="NormalWeb"/>
        <w:tabs>
          <w:tab w:val="left" w:pos="720"/>
        </w:tabs>
        <w:spacing w:line="360" w:lineRule="auto"/>
        <w:ind w:left="720" w:hanging="720"/>
        <w:rPr>
          <w:rFonts w:ascii="Verdana" w:hAnsi="Verdana" w:cs="Tahoma"/>
          <w:sz w:val="17"/>
          <w:szCs w:val="17"/>
        </w:rPr>
      </w:pPr>
      <w:r w:rsidRPr="006A2ADA">
        <w:rPr>
          <w:rFonts w:ascii="Verdana" w:hAnsi="Verdana" w:cs="Tahoma"/>
          <w:b/>
          <w:sz w:val="17"/>
          <w:szCs w:val="17"/>
        </w:rPr>
        <w:t>4.1</w:t>
      </w:r>
      <w:r w:rsidRPr="006A2ADA">
        <w:rPr>
          <w:rFonts w:ascii="Verdana" w:hAnsi="Verdana" w:cs="Tahoma"/>
          <w:b/>
          <w:sz w:val="17"/>
          <w:szCs w:val="17"/>
        </w:rPr>
        <w:tab/>
      </w:r>
      <w:r w:rsidRPr="006A2ADA">
        <w:rPr>
          <w:rFonts w:ascii="Verdana" w:hAnsi="Verdana" w:cs="Tahoma"/>
          <w:sz w:val="17"/>
          <w:szCs w:val="17"/>
        </w:rPr>
        <w:t xml:space="preserve">The Supreme Court is the highest court in NSW. It operates under the </w:t>
      </w:r>
      <w:hyperlink r:id="rId7" w:history="1">
        <w:r w:rsidRPr="006A2ADA">
          <w:rPr>
            <w:rStyle w:val="Hyperlink"/>
            <w:rFonts w:ascii="Verdana" w:hAnsi="Verdana" w:cs="Tahoma"/>
            <w:i/>
            <w:color w:val="auto"/>
            <w:sz w:val="17"/>
            <w:szCs w:val="17"/>
            <w:u w:val="none"/>
          </w:rPr>
          <w:t>Supreme Court Act (1970)</w:t>
        </w:r>
      </w:hyperlink>
      <w:r w:rsidRPr="006A2ADA">
        <w:rPr>
          <w:rFonts w:ascii="Verdana" w:hAnsi="Verdana" w:cs="Tahoma"/>
          <w:sz w:val="17"/>
          <w:szCs w:val="17"/>
        </w:rPr>
        <w:t xml:space="preserve"> and the </w:t>
      </w:r>
      <w:hyperlink r:id="rId8" w:history="1">
        <w:r w:rsidRPr="006A2ADA">
          <w:rPr>
            <w:rStyle w:val="Hyperlink"/>
            <w:rFonts w:ascii="Verdana" w:hAnsi="Verdana" w:cs="Tahoma"/>
            <w:i/>
            <w:color w:val="auto"/>
            <w:sz w:val="17"/>
            <w:szCs w:val="17"/>
            <w:u w:val="none"/>
          </w:rPr>
          <w:t>Civil Procedure Act 2005</w:t>
        </w:r>
      </w:hyperlink>
      <w:r w:rsidRPr="006A2ADA">
        <w:rPr>
          <w:rFonts w:ascii="Verdana" w:hAnsi="Verdana" w:cs="Tahoma"/>
          <w:i/>
          <w:sz w:val="17"/>
          <w:szCs w:val="17"/>
        </w:rPr>
        <w:t>.</w:t>
      </w:r>
      <w:r w:rsidRPr="006A2ADA">
        <w:rPr>
          <w:rFonts w:ascii="Verdana" w:hAnsi="Verdana" w:cs="Tahoma"/>
          <w:sz w:val="17"/>
          <w:szCs w:val="17"/>
        </w:rPr>
        <w:t xml:space="preserve"> The Court has unlimited civil jurisdiction.</w:t>
      </w:r>
    </w:p>
    <w:p w:rsidR="008C0B12" w:rsidRPr="006A2ADA" w:rsidRDefault="008C0B12" w:rsidP="008C0B12">
      <w:pPr>
        <w:pStyle w:val="NormalWeb"/>
        <w:tabs>
          <w:tab w:val="left" w:pos="720"/>
        </w:tabs>
        <w:spacing w:line="360" w:lineRule="auto"/>
        <w:ind w:left="720" w:hanging="720"/>
        <w:rPr>
          <w:rFonts w:ascii="Verdana" w:hAnsi="Verdana" w:cs="Tahoma"/>
          <w:sz w:val="17"/>
          <w:szCs w:val="17"/>
        </w:rPr>
      </w:pPr>
      <w:r w:rsidRPr="006A2ADA">
        <w:rPr>
          <w:rFonts w:ascii="Verdana" w:hAnsi="Verdana" w:cs="Tahoma"/>
          <w:b/>
          <w:sz w:val="17"/>
          <w:szCs w:val="17"/>
        </w:rPr>
        <w:t>4.2</w:t>
      </w:r>
      <w:r w:rsidRPr="006A2ADA">
        <w:rPr>
          <w:rFonts w:ascii="Verdana" w:hAnsi="Verdana" w:cs="Tahoma"/>
          <w:b/>
          <w:sz w:val="17"/>
          <w:szCs w:val="17"/>
        </w:rPr>
        <w:tab/>
      </w:r>
      <w:r w:rsidRPr="006A2ADA">
        <w:rPr>
          <w:rFonts w:ascii="Verdana" w:hAnsi="Verdana" w:cs="Tahoma"/>
          <w:sz w:val="17"/>
          <w:szCs w:val="17"/>
        </w:rPr>
        <w:t>The Court’s judicial work is carried out by 48 Judges and 4 Associate Judges. Associate Judges deal with the less complex matters and trials not involving a jury. Limited judicial powers, involvi</w:t>
      </w:r>
      <w:r w:rsidR="000D70AC" w:rsidRPr="006A2ADA">
        <w:rPr>
          <w:rFonts w:ascii="Verdana" w:hAnsi="Verdana" w:cs="Tahoma"/>
          <w:sz w:val="17"/>
          <w:szCs w:val="17"/>
        </w:rPr>
        <w:t>ng issues that arise as parties</w:t>
      </w:r>
      <w:r w:rsidRPr="006A2ADA">
        <w:rPr>
          <w:rFonts w:ascii="Verdana" w:hAnsi="Verdana" w:cs="Tahoma"/>
          <w:sz w:val="17"/>
          <w:szCs w:val="17"/>
        </w:rPr>
        <w:t xml:space="preserve"> progress cases towards a hearing, are exercised by some Registrars, some of whom are qualified mediators.</w:t>
      </w:r>
    </w:p>
    <w:p w:rsidR="008C0B12" w:rsidRPr="006A2ADA" w:rsidRDefault="008C0B12" w:rsidP="008C0B12">
      <w:pPr>
        <w:pStyle w:val="NormalWeb"/>
        <w:tabs>
          <w:tab w:val="left" w:pos="720"/>
        </w:tabs>
        <w:spacing w:line="360" w:lineRule="auto"/>
        <w:ind w:left="720" w:hanging="720"/>
        <w:rPr>
          <w:rFonts w:ascii="Verdana" w:hAnsi="Verdana" w:cs="Tahoma"/>
          <w:sz w:val="17"/>
          <w:szCs w:val="17"/>
          <w:lang/>
        </w:rPr>
      </w:pPr>
      <w:r w:rsidRPr="006A2ADA">
        <w:rPr>
          <w:rFonts w:ascii="Verdana" w:hAnsi="Verdana" w:cs="Tahoma"/>
          <w:b/>
          <w:sz w:val="17"/>
          <w:szCs w:val="17"/>
        </w:rPr>
        <w:t>4.3</w:t>
      </w:r>
      <w:r w:rsidRPr="006A2ADA">
        <w:rPr>
          <w:rFonts w:ascii="Verdana" w:hAnsi="Verdana" w:cs="Tahoma"/>
          <w:b/>
          <w:sz w:val="17"/>
          <w:szCs w:val="17"/>
        </w:rPr>
        <w:tab/>
      </w:r>
      <w:r w:rsidRPr="006A2ADA">
        <w:rPr>
          <w:rFonts w:ascii="Verdana" w:hAnsi="Verdana" w:cs="Tahoma"/>
          <w:sz w:val="17"/>
          <w:szCs w:val="17"/>
          <w:lang/>
        </w:rPr>
        <w:t xml:space="preserve">The court hears civil cases involving more than $750 000 and civil matters such as wills, injunctions, Admiralty. The court's work at first instance is divided between the Common Law Division, which hears civil, criminal and administrative law matters and the Equity Division which hears equity, probate, commercial, admiralty and protective matters. The court includes the Court of Appeal and the Court of Criminal Appeal which hear appeals from the </w:t>
      </w:r>
      <w:hyperlink r:id="rId9" w:tooltip="District Court of New South Wales" w:history="1">
        <w:r w:rsidRPr="006A2ADA">
          <w:rPr>
            <w:rStyle w:val="Hyperlink"/>
            <w:rFonts w:ascii="Verdana" w:hAnsi="Verdana" w:cs="Tahoma"/>
            <w:color w:val="auto"/>
            <w:sz w:val="17"/>
            <w:szCs w:val="17"/>
            <w:u w:val="none"/>
            <w:lang/>
          </w:rPr>
          <w:t>District Court</w:t>
        </w:r>
      </w:hyperlink>
      <w:r w:rsidRPr="006A2ADA">
        <w:rPr>
          <w:rFonts w:ascii="Verdana" w:hAnsi="Verdana" w:cs="Tahoma"/>
          <w:sz w:val="17"/>
          <w:szCs w:val="17"/>
          <w:lang/>
        </w:rPr>
        <w:t xml:space="preserve"> and the </w:t>
      </w:r>
      <w:hyperlink r:id="rId10" w:tooltip="Local Court of New South Wales" w:history="1">
        <w:r w:rsidRPr="006A2ADA">
          <w:rPr>
            <w:rStyle w:val="Hyperlink"/>
            <w:rFonts w:ascii="Verdana" w:hAnsi="Verdana" w:cs="Tahoma"/>
            <w:color w:val="auto"/>
            <w:sz w:val="17"/>
            <w:szCs w:val="17"/>
            <w:u w:val="none"/>
            <w:lang/>
          </w:rPr>
          <w:t>Local Court</w:t>
        </w:r>
      </w:hyperlink>
      <w:r w:rsidRPr="006A2ADA">
        <w:rPr>
          <w:rFonts w:ascii="Verdana" w:hAnsi="Verdana" w:cs="Tahoma"/>
          <w:sz w:val="17"/>
          <w:szCs w:val="17"/>
          <w:lang/>
        </w:rPr>
        <w:t xml:space="preserve"> and from single judges sitting in the Common Law or Equity Divisions.</w:t>
      </w: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rPr>
      </w:pPr>
      <w:r w:rsidRPr="006A2ADA">
        <w:rPr>
          <w:rFonts w:ascii="Verdana" w:hAnsi="Verdana" w:cs="Tahoma"/>
          <w:b/>
          <w:sz w:val="17"/>
          <w:szCs w:val="17"/>
          <w:lang w:val="en-AU" w:eastAsia="en-AU"/>
        </w:rPr>
        <w:t>4.4</w:t>
      </w:r>
      <w:r w:rsidRPr="006A2ADA">
        <w:rPr>
          <w:rFonts w:ascii="Verdana" w:hAnsi="Verdana" w:cs="Tahoma"/>
          <w:sz w:val="17"/>
          <w:szCs w:val="17"/>
          <w:lang w:val="en-AU" w:eastAsia="en-AU"/>
        </w:rPr>
        <w:tab/>
        <w:t xml:space="preserve">Section 23 of the </w:t>
      </w:r>
      <w:r w:rsidRPr="006A2ADA">
        <w:rPr>
          <w:rFonts w:ascii="Verdana" w:hAnsi="Verdana" w:cs="Tahoma"/>
          <w:i/>
          <w:iCs/>
          <w:sz w:val="17"/>
          <w:szCs w:val="17"/>
          <w:lang w:val="en-AU" w:eastAsia="en-AU"/>
        </w:rPr>
        <w:t xml:space="preserve">Supreme Court Act 1970 </w:t>
      </w:r>
      <w:r w:rsidRPr="006A2ADA">
        <w:rPr>
          <w:rFonts w:ascii="Verdana" w:hAnsi="Verdana" w:cs="Tahoma"/>
          <w:sz w:val="17"/>
          <w:szCs w:val="17"/>
          <w:lang w:val="en-AU" w:eastAsia="en-AU"/>
        </w:rPr>
        <w:t xml:space="preserve">provides the Court with all </w:t>
      </w:r>
      <w:r w:rsidR="008032F7" w:rsidRPr="006A2ADA">
        <w:rPr>
          <w:rFonts w:ascii="Verdana" w:hAnsi="Verdana" w:cs="Tahoma"/>
          <w:sz w:val="17"/>
          <w:szCs w:val="17"/>
          <w:lang w:val="en-AU" w:eastAsia="en-AU"/>
        </w:rPr>
        <w:t>jurisdictions</w:t>
      </w:r>
      <w:r w:rsidRPr="006A2ADA">
        <w:rPr>
          <w:rFonts w:ascii="Verdana" w:hAnsi="Verdana" w:cs="Tahoma"/>
          <w:sz w:val="17"/>
          <w:szCs w:val="17"/>
          <w:lang w:val="en-AU" w:eastAsia="en-AU"/>
        </w:rPr>
        <w:t xml:space="preserve"> necessary</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 xml:space="preserve">for the administration of justice in </w:t>
      </w:r>
      <w:smartTag w:uri="urn:schemas-microsoft-com:office:smarttags" w:element="State">
        <w:smartTag w:uri="urn:schemas-microsoft-com:office:smarttags" w:element="place">
          <w:r w:rsidRPr="006A2ADA">
            <w:rPr>
              <w:rFonts w:ascii="Verdana" w:hAnsi="Verdana" w:cs="Tahoma"/>
              <w:sz w:val="17"/>
              <w:szCs w:val="17"/>
              <w:lang w:val="en-AU" w:eastAsia="en-AU"/>
            </w:rPr>
            <w:t>New South</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Wales</w:t>
          </w:r>
        </w:smartTag>
      </w:smartTag>
      <w:r w:rsidRPr="006A2ADA">
        <w:rPr>
          <w:rFonts w:ascii="Verdana" w:hAnsi="Verdana" w:cs="Tahoma"/>
          <w:sz w:val="17"/>
          <w:szCs w:val="17"/>
          <w:lang w:val="en-AU" w:eastAsia="en-AU"/>
        </w:rPr>
        <w:t>. The Supreme Court has supervisory</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jurisdiction over other courts and tribunals in the</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State. The Court generally exercises its</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supervisory jurisdiction through its appellate</w:t>
      </w:r>
      <w:r w:rsidRPr="006A2ADA">
        <w:rPr>
          <w:rFonts w:ascii="Verdana" w:hAnsi="Verdana" w:cs="Tahoma"/>
          <w:i/>
          <w:iCs/>
          <w:sz w:val="17"/>
          <w:szCs w:val="17"/>
          <w:lang w:val="en-AU" w:eastAsia="en-AU"/>
        </w:rPr>
        <w:t xml:space="preserve"> </w:t>
      </w:r>
      <w:r w:rsidRPr="006A2ADA">
        <w:rPr>
          <w:rFonts w:ascii="Verdana" w:hAnsi="Verdana" w:cs="Tahoma"/>
          <w:sz w:val="17"/>
          <w:szCs w:val="17"/>
          <w:lang w:val="en-AU" w:eastAsia="en-AU"/>
        </w:rPr>
        <w:t>courts.</w:t>
      </w:r>
    </w:p>
    <w:p w:rsidR="008C0B12" w:rsidRPr="006A2ADA" w:rsidRDefault="008C0B12" w:rsidP="008C0B12">
      <w:pPr>
        <w:autoSpaceDE w:val="0"/>
        <w:autoSpaceDN w:val="0"/>
        <w:adjustRightInd w:val="0"/>
        <w:spacing w:line="360" w:lineRule="auto"/>
        <w:rPr>
          <w:rFonts w:ascii="Verdana" w:hAnsi="Verdana" w:cs="Tahoma"/>
          <w:b/>
          <w:bCs/>
          <w:sz w:val="17"/>
          <w:szCs w:val="17"/>
          <w:lang w:val="en-AU" w:eastAsia="en-AU"/>
        </w:rPr>
      </w:pPr>
    </w:p>
    <w:p w:rsidR="008C0B12" w:rsidRPr="006A2ADA" w:rsidRDefault="008C0B12" w:rsidP="008C0B12">
      <w:pPr>
        <w:autoSpaceDE w:val="0"/>
        <w:autoSpaceDN w:val="0"/>
        <w:adjustRightInd w:val="0"/>
        <w:spacing w:line="360" w:lineRule="auto"/>
        <w:rPr>
          <w:rFonts w:ascii="Verdana" w:hAnsi="Verdana" w:cs="Tahoma"/>
          <w:bCs/>
          <w:sz w:val="17"/>
          <w:szCs w:val="17"/>
          <w:u w:val="single"/>
          <w:lang w:val="en-AU" w:eastAsia="en-AU"/>
        </w:rPr>
      </w:pPr>
      <w:r w:rsidRPr="006A2ADA">
        <w:rPr>
          <w:rFonts w:ascii="Verdana" w:hAnsi="Verdana" w:cs="Tahoma"/>
          <w:b/>
          <w:bCs/>
          <w:i/>
          <w:sz w:val="17"/>
          <w:szCs w:val="17"/>
          <w:lang w:val="en-AU" w:eastAsia="en-AU"/>
        </w:rPr>
        <w:tab/>
      </w:r>
      <w:r w:rsidRPr="006A2ADA">
        <w:rPr>
          <w:rFonts w:ascii="Verdana" w:hAnsi="Verdana" w:cs="Tahoma"/>
          <w:bCs/>
          <w:sz w:val="17"/>
          <w:szCs w:val="17"/>
          <w:u w:val="single"/>
          <w:lang w:val="en-AU" w:eastAsia="en-AU"/>
        </w:rPr>
        <w:t>Common Law Division</w:t>
      </w:r>
    </w:p>
    <w:p w:rsidR="008C0B12" w:rsidRPr="006A2ADA" w:rsidRDefault="008C0B12" w:rsidP="008C0B12">
      <w:pPr>
        <w:autoSpaceDE w:val="0"/>
        <w:autoSpaceDN w:val="0"/>
        <w:adjustRightInd w:val="0"/>
        <w:spacing w:line="360" w:lineRule="auto"/>
        <w:rPr>
          <w:rFonts w:ascii="Verdana" w:hAnsi="Verdana" w:cs="Tahoma"/>
          <w:b/>
          <w:bCs/>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b/>
          <w:sz w:val="17"/>
          <w:szCs w:val="17"/>
        </w:rPr>
      </w:pPr>
      <w:r w:rsidRPr="006A2ADA">
        <w:rPr>
          <w:rFonts w:ascii="Verdana" w:hAnsi="Verdana" w:cs="Tahoma"/>
          <w:b/>
          <w:sz w:val="17"/>
          <w:szCs w:val="17"/>
        </w:rPr>
        <w:t>4.5</w:t>
      </w:r>
      <w:r w:rsidRPr="006A2ADA">
        <w:rPr>
          <w:rFonts w:ascii="Verdana" w:hAnsi="Verdana" w:cs="Tahoma"/>
          <w:b/>
          <w:sz w:val="17"/>
          <w:szCs w:val="17"/>
        </w:rPr>
        <w:tab/>
      </w:r>
      <w:r w:rsidRPr="006A2ADA">
        <w:rPr>
          <w:rFonts w:ascii="Verdana" w:hAnsi="Verdana" w:cs="Tahoma"/>
          <w:sz w:val="17"/>
          <w:szCs w:val="17"/>
          <w:lang w:val="en-AU" w:eastAsia="en-AU"/>
        </w:rPr>
        <w:t>The Division hears both criminal and civil matters. The Division deals with all serious personal injury, and contractual actions, in which the Court has unlimited jurisdiction. The civil business of the Division also comprises:</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w:t>
      </w:r>
      <w:r w:rsidRPr="006A2ADA">
        <w:rPr>
          <w:rFonts w:ascii="Verdana" w:hAnsi="Verdana" w:cs="Tahoma"/>
          <w:sz w:val="17"/>
          <w:szCs w:val="17"/>
          <w:lang w:val="en-AU" w:eastAsia="en-AU"/>
        </w:rPr>
        <w:tab/>
        <w:t>Claims for damages;</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Claims of professional negligence;</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Claims relating to the possession of land;</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Claims of defamation;</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Administrative law cases seeking the review of decisions by gover</w:t>
      </w:r>
      <w:r w:rsidR="00C32411" w:rsidRPr="006A2ADA">
        <w:rPr>
          <w:rFonts w:ascii="Verdana" w:hAnsi="Verdana" w:cs="Tahoma"/>
          <w:sz w:val="17"/>
          <w:szCs w:val="17"/>
          <w:lang w:val="en-AU" w:eastAsia="en-AU"/>
        </w:rPr>
        <w:t xml:space="preserve">nment and </w:t>
      </w:r>
      <w:r w:rsidRPr="006A2ADA">
        <w:rPr>
          <w:rFonts w:ascii="Verdana" w:hAnsi="Verdana" w:cs="Tahoma"/>
          <w:sz w:val="17"/>
          <w:szCs w:val="17"/>
          <w:lang w:val="en-AU" w:eastAsia="en-AU"/>
        </w:rPr>
        <w:t>administrative tribunals; and</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Appeals from Local courts.</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024081" w:rsidRPr="006A2ADA" w:rsidRDefault="00024081"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tabs>
          <w:tab w:val="left" w:pos="720"/>
        </w:tabs>
        <w:autoSpaceDE w:val="0"/>
        <w:autoSpaceDN w:val="0"/>
        <w:adjustRightInd w:val="0"/>
        <w:spacing w:line="360" w:lineRule="auto"/>
        <w:rPr>
          <w:rFonts w:ascii="Verdana" w:hAnsi="Verdana" w:cs="Tahoma"/>
          <w:bCs/>
          <w:sz w:val="17"/>
          <w:szCs w:val="17"/>
          <w:u w:val="single"/>
          <w:lang w:val="en-AU" w:eastAsia="en-AU"/>
        </w:rPr>
      </w:pPr>
      <w:r w:rsidRPr="006A2ADA">
        <w:rPr>
          <w:rFonts w:ascii="Verdana" w:hAnsi="Verdana" w:cs="Tahoma"/>
          <w:b/>
          <w:bCs/>
          <w:i/>
          <w:sz w:val="17"/>
          <w:szCs w:val="17"/>
          <w:lang w:val="en-AU" w:eastAsia="en-AU"/>
        </w:rPr>
        <w:tab/>
      </w:r>
      <w:r w:rsidRPr="006A2ADA">
        <w:rPr>
          <w:rFonts w:ascii="Verdana" w:hAnsi="Verdana" w:cs="Tahoma"/>
          <w:bCs/>
          <w:sz w:val="17"/>
          <w:szCs w:val="17"/>
          <w:u w:val="single"/>
          <w:lang w:val="en-AU" w:eastAsia="en-AU"/>
        </w:rPr>
        <w:t>Equity Division</w:t>
      </w:r>
    </w:p>
    <w:p w:rsidR="008C0B12" w:rsidRPr="006A2ADA" w:rsidRDefault="008C0B12" w:rsidP="008C0B12">
      <w:pPr>
        <w:autoSpaceDE w:val="0"/>
        <w:autoSpaceDN w:val="0"/>
        <w:adjustRightInd w:val="0"/>
        <w:spacing w:line="360" w:lineRule="auto"/>
        <w:rPr>
          <w:rFonts w:ascii="Verdana" w:hAnsi="Verdana" w:cs="Tahoma"/>
          <w:b/>
          <w:bCs/>
          <w:i/>
          <w:sz w:val="17"/>
          <w:szCs w:val="17"/>
          <w:lang w:val="en-AU" w:eastAsia="en-AU"/>
        </w:rPr>
      </w:pPr>
    </w:p>
    <w:p w:rsidR="008C0B12" w:rsidRPr="006A2ADA" w:rsidRDefault="008C0B12" w:rsidP="008C0B12">
      <w:pPr>
        <w:numPr>
          <w:ilvl w:val="1"/>
          <w:numId w:val="14"/>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 xml:space="preserve">The Equity Division exercises the traditional Equity jurisdiction dealing with claims for remedies other than damages and recovery of debts, including contractual claims, rights of property, and disputes relating to partnerships, trusts, and deceased estates. The Division hears applications brought under numerous statutes, including the </w:t>
      </w:r>
      <w:r w:rsidRPr="006A2ADA">
        <w:rPr>
          <w:rFonts w:ascii="Verdana" w:hAnsi="Verdana" w:cs="Tahoma"/>
          <w:i/>
          <w:iCs/>
          <w:sz w:val="17"/>
          <w:szCs w:val="17"/>
          <w:lang w:val="en-AU" w:eastAsia="en-AU"/>
        </w:rPr>
        <w:t>Corporations Act 2001 (Commonwealth)</w:t>
      </w:r>
      <w:r w:rsidRPr="006A2ADA">
        <w:rPr>
          <w:rFonts w:ascii="Verdana" w:hAnsi="Verdana" w:cs="Tahoma"/>
          <w:sz w:val="17"/>
          <w:szCs w:val="17"/>
          <w:lang w:val="en-AU" w:eastAsia="en-AU"/>
        </w:rPr>
        <w:t xml:space="preserve">, the </w:t>
      </w:r>
      <w:r w:rsidRPr="006A2ADA">
        <w:rPr>
          <w:rFonts w:ascii="Verdana" w:hAnsi="Verdana" w:cs="Tahoma"/>
          <w:i/>
          <w:iCs/>
          <w:sz w:val="17"/>
          <w:szCs w:val="17"/>
          <w:lang w:val="en-AU" w:eastAsia="en-AU"/>
        </w:rPr>
        <w:t xml:space="preserve">Family Provision Act 1982, </w:t>
      </w:r>
      <w:r w:rsidRPr="006A2ADA">
        <w:rPr>
          <w:rFonts w:ascii="Verdana" w:hAnsi="Verdana" w:cs="Tahoma"/>
          <w:sz w:val="17"/>
          <w:szCs w:val="17"/>
          <w:lang w:val="en-AU" w:eastAsia="en-AU"/>
        </w:rPr>
        <w:t>and the P</w:t>
      </w:r>
      <w:r w:rsidRPr="006A2ADA">
        <w:rPr>
          <w:rFonts w:ascii="Verdana" w:hAnsi="Verdana" w:cs="Tahoma"/>
          <w:i/>
          <w:iCs/>
          <w:sz w:val="17"/>
          <w:szCs w:val="17"/>
          <w:lang w:val="en-AU" w:eastAsia="en-AU"/>
        </w:rPr>
        <w:t>roperty</w:t>
      </w:r>
      <w:r w:rsidRPr="006A2ADA">
        <w:rPr>
          <w:rFonts w:ascii="Verdana" w:hAnsi="Verdana" w:cs="Tahoma"/>
          <w:sz w:val="17"/>
          <w:szCs w:val="17"/>
          <w:lang w:val="en-AU" w:eastAsia="en-AU"/>
        </w:rPr>
        <w:t xml:space="preserve"> </w:t>
      </w:r>
      <w:r w:rsidRPr="006A2ADA">
        <w:rPr>
          <w:rFonts w:ascii="Verdana" w:hAnsi="Verdana" w:cs="Tahoma"/>
          <w:i/>
          <w:iCs/>
          <w:sz w:val="17"/>
          <w:szCs w:val="17"/>
          <w:lang w:val="en-AU" w:eastAsia="en-AU"/>
        </w:rPr>
        <w:t>(Relationships) Act 1984</w:t>
      </w:r>
      <w:r w:rsidRPr="006A2ADA">
        <w:rPr>
          <w:rFonts w:ascii="Verdana" w:hAnsi="Verdana" w:cs="Tahoma"/>
          <w:sz w:val="17"/>
          <w:szCs w:val="17"/>
          <w:lang w:val="en-AU" w:eastAsia="en-AU"/>
        </w:rPr>
        <w:t>. The Division also handles a diverse range of applications in the areas of Admiralty law, Commercial law, Technology and Construction, Probate and the Court’s Adoption and Protective jurisdictions.</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4"/>
        </w:numPr>
        <w:tabs>
          <w:tab w:val="left" w:pos="720"/>
        </w:tabs>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rPr>
        <w:t xml:space="preserve">Matters heard in the Supreme Court are generally listed for hearing months in advance. For urgent applications a Duty Judge is available. </w:t>
      </w:r>
    </w:p>
    <w:p w:rsidR="008C0B12" w:rsidRPr="006A2ADA" w:rsidRDefault="008C0B12" w:rsidP="008C0B12">
      <w:pPr>
        <w:autoSpaceDE w:val="0"/>
        <w:autoSpaceDN w:val="0"/>
        <w:adjustRightInd w:val="0"/>
        <w:spacing w:line="360" w:lineRule="auto"/>
        <w:ind w:left="720"/>
        <w:rPr>
          <w:rFonts w:ascii="Verdana" w:hAnsi="Verdana" w:cs="Tahoma"/>
          <w:b/>
          <w:bCs/>
          <w:sz w:val="17"/>
          <w:szCs w:val="17"/>
          <w:lang w:val="en-AU" w:eastAsia="en-AU"/>
        </w:rPr>
      </w:pPr>
    </w:p>
    <w:p w:rsidR="008C0B12" w:rsidRPr="006A2ADA" w:rsidRDefault="008C0B12" w:rsidP="008C0B12">
      <w:pPr>
        <w:autoSpaceDE w:val="0"/>
        <w:autoSpaceDN w:val="0"/>
        <w:adjustRightInd w:val="0"/>
        <w:spacing w:line="360" w:lineRule="auto"/>
        <w:rPr>
          <w:rFonts w:ascii="Verdana" w:hAnsi="Verdana" w:cs="Tahoma"/>
          <w:bCs/>
          <w:sz w:val="17"/>
          <w:szCs w:val="17"/>
          <w:u w:val="single"/>
          <w:lang w:val="en-AU" w:eastAsia="en-AU"/>
        </w:rPr>
      </w:pPr>
      <w:r w:rsidRPr="006A2ADA">
        <w:rPr>
          <w:rFonts w:ascii="Verdana" w:hAnsi="Verdana" w:cs="Tahoma"/>
          <w:b/>
          <w:bCs/>
          <w:sz w:val="17"/>
          <w:szCs w:val="17"/>
          <w:lang w:val="en-AU" w:eastAsia="en-AU"/>
        </w:rPr>
        <w:tab/>
      </w:r>
      <w:r w:rsidRPr="006A2ADA">
        <w:rPr>
          <w:rFonts w:ascii="Verdana" w:hAnsi="Verdana" w:cs="Tahoma"/>
          <w:bCs/>
          <w:sz w:val="17"/>
          <w:szCs w:val="17"/>
          <w:u w:val="single"/>
          <w:lang w:val="en-AU" w:eastAsia="en-AU"/>
        </w:rPr>
        <w:t>Mediation</w:t>
      </w:r>
    </w:p>
    <w:p w:rsidR="008C0B12" w:rsidRPr="006A2ADA" w:rsidRDefault="008C0B12" w:rsidP="008C0B12">
      <w:pPr>
        <w:autoSpaceDE w:val="0"/>
        <w:autoSpaceDN w:val="0"/>
        <w:adjustRightInd w:val="0"/>
        <w:spacing w:line="360" w:lineRule="auto"/>
        <w:rPr>
          <w:rFonts w:ascii="Verdana" w:hAnsi="Verdana" w:cs="Tahoma"/>
          <w:b/>
          <w:bCs/>
          <w:i/>
          <w:sz w:val="17"/>
          <w:szCs w:val="17"/>
          <w:lang w:val="en-AU" w:eastAsia="en-AU"/>
        </w:rPr>
      </w:pPr>
    </w:p>
    <w:p w:rsidR="008C0B12" w:rsidRPr="006A2ADA" w:rsidRDefault="008C0B12" w:rsidP="008C0B12">
      <w:pPr>
        <w:numPr>
          <w:ilvl w:val="1"/>
          <w:numId w:val="14"/>
        </w:numPr>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 xml:space="preserve">Mediation is available for most civil proceedings pursuant to Part 4 of the </w:t>
      </w:r>
      <w:r w:rsidRPr="006A2ADA">
        <w:rPr>
          <w:rFonts w:ascii="Verdana" w:hAnsi="Verdana" w:cs="Tahoma"/>
          <w:i/>
          <w:iCs/>
          <w:sz w:val="17"/>
          <w:szCs w:val="17"/>
          <w:lang w:val="en-AU" w:eastAsia="en-AU"/>
        </w:rPr>
        <w:t>Civil Procedure Act 2005.</w:t>
      </w:r>
      <w:r w:rsidRPr="006A2ADA">
        <w:rPr>
          <w:rFonts w:ascii="Verdana" w:hAnsi="Verdana" w:cs="Tahoma"/>
          <w:sz w:val="17"/>
          <w:szCs w:val="17"/>
          <w:lang w:val="en-AU" w:eastAsia="en-AU"/>
        </w:rPr>
        <w:t xml:space="preserve"> The role of the mediator is to assist parties in resolving their dispute by alerting them to possible solutions, while allowing the parties to choose which option is the most agreeable. The mediator does not impose a solution on the parties. </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4"/>
        </w:numPr>
        <w:tabs>
          <w:tab w:val="left" w:pos="720"/>
        </w:tabs>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 xml:space="preserve">Alternatively, parties may use private mediators. A matter may proceed to mediation at the request of the parties, or the Court may refer appropriate cases to mediation, with or without the consent of parties. If the Court orders that a matter be referred to mediation, there are several ways in which a mediator may be appointed. If the parties are in agreement as to a particular mediator, then they can ask the Court to appoint that mediator, who may also be a Registrar of the Court. If parties cannot agree upon a mediator, then they should attempt to agree on how the Court can appoint a qualified mediator. Some options are set out in Practice Note SC Gen 6. </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14"/>
        </w:numPr>
        <w:tabs>
          <w:tab w:val="left" w:pos="720"/>
        </w:tabs>
        <w:autoSpaceDE w:val="0"/>
        <w:autoSpaceDN w:val="0"/>
        <w:adjustRightInd w:val="0"/>
        <w:spacing w:line="360" w:lineRule="auto"/>
        <w:rPr>
          <w:rFonts w:ascii="Verdana" w:hAnsi="Verdana" w:cs="Tahoma"/>
          <w:sz w:val="17"/>
          <w:szCs w:val="17"/>
          <w:lang w:val="en-AU" w:eastAsia="en-AU"/>
        </w:rPr>
      </w:pPr>
      <w:r w:rsidRPr="006A2ADA">
        <w:rPr>
          <w:rFonts w:ascii="Verdana" w:hAnsi="Verdana" w:cs="Tahoma"/>
          <w:sz w:val="17"/>
          <w:szCs w:val="17"/>
          <w:lang w:val="en-AU" w:eastAsia="en-AU"/>
        </w:rPr>
        <w:t>Settlement of disputes by mediation is encouraged. Parties may derive the following benefits from mediation:</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An early resolution to their dispute;</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 xml:space="preserve">• </w:t>
      </w:r>
      <w:r w:rsidRPr="006A2ADA">
        <w:rPr>
          <w:rFonts w:ascii="Verdana" w:hAnsi="Verdana" w:cs="Tahoma"/>
          <w:sz w:val="17"/>
          <w:szCs w:val="17"/>
          <w:lang w:val="en-AU" w:eastAsia="en-AU"/>
        </w:rPr>
        <w:tab/>
        <w:t>Lower costs; and</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r w:rsidRPr="006A2ADA">
        <w:rPr>
          <w:rFonts w:ascii="Verdana" w:hAnsi="Verdana" w:cs="Tahoma"/>
          <w:sz w:val="17"/>
          <w:szCs w:val="17"/>
          <w:lang w:val="en-AU" w:eastAsia="en-AU"/>
        </w:rPr>
        <w:t>•</w:t>
      </w:r>
      <w:r w:rsidRPr="006A2ADA">
        <w:rPr>
          <w:rFonts w:ascii="Verdana" w:hAnsi="Verdana" w:cs="Tahoma"/>
          <w:sz w:val="17"/>
          <w:szCs w:val="17"/>
          <w:lang w:val="en-AU" w:eastAsia="en-AU"/>
        </w:rPr>
        <w:tab/>
        <w:t>Greater flexibility in resolving the dispute as the solutions that may be explored through mediation are broader than those open to the Court’s consideration in conventional litigation.</w:t>
      </w:r>
    </w:p>
    <w:p w:rsidR="008C0B12" w:rsidRPr="006A2ADA" w:rsidRDefault="008C0B12" w:rsidP="008C0B12">
      <w:pPr>
        <w:tabs>
          <w:tab w:val="left" w:pos="1800"/>
        </w:tabs>
        <w:autoSpaceDE w:val="0"/>
        <w:autoSpaceDN w:val="0"/>
        <w:adjustRightInd w:val="0"/>
        <w:spacing w:line="360" w:lineRule="auto"/>
        <w:ind w:left="1800" w:hanging="540"/>
        <w:rPr>
          <w:rFonts w:ascii="Verdana" w:hAnsi="Verdana" w:cs="Tahoma"/>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b/>
          <w:sz w:val="17"/>
          <w:szCs w:val="17"/>
          <w:lang w:val="en-AU" w:eastAsia="en-AU"/>
        </w:rPr>
        <w:t>4.11</w:t>
      </w:r>
      <w:r w:rsidRPr="006A2ADA">
        <w:rPr>
          <w:rFonts w:ascii="Verdana" w:hAnsi="Verdana" w:cs="Tahoma"/>
          <w:b/>
          <w:sz w:val="17"/>
          <w:szCs w:val="17"/>
          <w:lang w:val="en-AU" w:eastAsia="en-AU"/>
        </w:rPr>
        <w:tab/>
      </w:r>
      <w:r w:rsidRPr="006A2ADA">
        <w:rPr>
          <w:rFonts w:ascii="Verdana" w:hAnsi="Verdana" w:cs="Tahoma"/>
          <w:sz w:val="17"/>
          <w:szCs w:val="17"/>
          <w:lang w:val="en-AU" w:eastAsia="en-AU"/>
        </w:rPr>
        <w:t>Even where mediation fails to resolve a matter entirely and the dispute proceeds to court, the impact of mediation can often become apparent at the subsequent contested hearing. Mediation often helps to define the real issues of the proceedings and this may result in a reduction in eventual court time and, consequently, lower legal costs.</w:t>
      </w:r>
    </w:p>
    <w:p w:rsidR="008C0B12" w:rsidRPr="006A2ADA" w:rsidRDefault="008C0B12" w:rsidP="008C0B12">
      <w:pPr>
        <w:autoSpaceDE w:val="0"/>
        <w:autoSpaceDN w:val="0"/>
        <w:adjustRightInd w:val="0"/>
        <w:spacing w:line="360" w:lineRule="auto"/>
        <w:rPr>
          <w:rFonts w:ascii="Verdana" w:hAnsi="Verdana" w:cs="Tahoma"/>
          <w:sz w:val="17"/>
          <w:szCs w:val="17"/>
          <w:u w:val="single"/>
          <w:lang w:val="en-AU" w:eastAsia="en-AU"/>
        </w:rPr>
      </w:pPr>
    </w:p>
    <w:p w:rsidR="008C0B12" w:rsidRPr="006A2ADA" w:rsidRDefault="008C0B12" w:rsidP="008C0B12">
      <w:pPr>
        <w:autoSpaceDE w:val="0"/>
        <w:autoSpaceDN w:val="0"/>
        <w:adjustRightInd w:val="0"/>
        <w:spacing w:line="360" w:lineRule="auto"/>
        <w:rPr>
          <w:rFonts w:ascii="Verdana" w:hAnsi="Verdana" w:cs="Tahoma"/>
          <w:b/>
          <w:bCs/>
          <w:i/>
          <w:sz w:val="17"/>
          <w:szCs w:val="17"/>
          <w:lang w:val="en-AU" w:eastAsia="en-AU"/>
        </w:rPr>
      </w:pPr>
      <w:r w:rsidRPr="006A2ADA">
        <w:rPr>
          <w:rFonts w:ascii="Verdana" w:hAnsi="Verdana" w:cs="Tahoma"/>
          <w:bCs/>
          <w:sz w:val="17"/>
          <w:szCs w:val="17"/>
          <w:lang w:val="en-AU" w:eastAsia="en-AU"/>
        </w:rPr>
        <w:lastRenderedPageBreak/>
        <w:tab/>
      </w:r>
      <w:r w:rsidRPr="006A2ADA">
        <w:rPr>
          <w:rFonts w:ascii="Verdana" w:hAnsi="Verdana" w:cs="Tahoma"/>
          <w:bCs/>
          <w:sz w:val="17"/>
          <w:szCs w:val="17"/>
          <w:u w:val="single"/>
          <w:lang w:val="en-AU" w:eastAsia="en-AU"/>
        </w:rPr>
        <w:t>Arbitration</w:t>
      </w:r>
      <w:r w:rsidRPr="006A2ADA">
        <w:rPr>
          <w:rFonts w:ascii="Verdana" w:hAnsi="Verdana" w:cs="Tahoma"/>
          <w:b/>
          <w:bCs/>
          <w:i/>
          <w:sz w:val="17"/>
          <w:szCs w:val="17"/>
          <w:lang w:val="en-AU" w:eastAsia="en-AU"/>
        </w:rPr>
        <w:br/>
      </w:r>
    </w:p>
    <w:p w:rsidR="008C0B12" w:rsidRPr="006A2ADA" w:rsidRDefault="008C0B12" w:rsidP="008C0B12">
      <w:pPr>
        <w:numPr>
          <w:ilvl w:val="1"/>
          <w:numId w:val="14"/>
        </w:numPr>
        <w:autoSpaceDE w:val="0"/>
        <w:autoSpaceDN w:val="0"/>
        <w:adjustRightInd w:val="0"/>
        <w:spacing w:line="360" w:lineRule="auto"/>
        <w:rPr>
          <w:rFonts w:ascii="Verdana" w:hAnsi="Verdana" w:cs="Tahoma"/>
          <w:i/>
          <w:iCs/>
          <w:sz w:val="17"/>
          <w:szCs w:val="17"/>
          <w:lang w:val="en-AU" w:eastAsia="en-AU"/>
        </w:rPr>
      </w:pPr>
      <w:r w:rsidRPr="006A2ADA">
        <w:rPr>
          <w:rFonts w:ascii="Verdana" w:hAnsi="Verdana" w:cs="Tahoma"/>
          <w:sz w:val="17"/>
          <w:szCs w:val="17"/>
          <w:lang w:val="en-AU" w:eastAsia="en-AU"/>
        </w:rPr>
        <w:t xml:space="preserve">Arbitration involves the hearing and adjudication of a dispute by an arbitrator, rather than by a Judge or Associate Judge. Determination through arbitration of a dispute regarding recovery of damages is permitted under Part 5 of the </w:t>
      </w:r>
      <w:r w:rsidRPr="006A2ADA">
        <w:rPr>
          <w:rFonts w:ascii="Verdana" w:hAnsi="Verdana" w:cs="Tahoma"/>
          <w:i/>
          <w:iCs/>
          <w:sz w:val="17"/>
          <w:szCs w:val="17"/>
          <w:lang w:val="en-AU" w:eastAsia="en-AU"/>
        </w:rPr>
        <w:t>Civil</w:t>
      </w:r>
      <w:r w:rsidRPr="006A2ADA">
        <w:rPr>
          <w:rFonts w:ascii="Verdana" w:hAnsi="Verdana" w:cs="Tahoma"/>
          <w:sz w:val="17"/>
          <w:szCs w:val="17"/>
          <w:lang w:val="en-AU" w:eastAsia="en-AU"/>
        </w:rPr>
        <w:t xml:space="preserve"> </w:t>
      </w:r>
      <w:r w:rsidRPr="006A2ADA">
        <w:rPr>
          <w:rFonts w:ascii="Verdana" w:hAnsi="Verdana" w:cs="Tahoma"/>
          <w:i/>
          <w:iCs/>
          <w:sz w:val="17"/>
          <w:szCs w:val="17"/>
          <w:lang w:val="en-AU" w:eastAsia="en-AU"/>
        </w:rPr>
        <w:t>Procedure Act 2005.</w:t>
      </w:r>
    </w:p>
    <w:p w:rsidR="008C0B12" w:rsidRPr="006A2ADA" w:rsidRDefault="008C0B12" w:rsidP="008C0B12">
      <w:pPr>
        <w:tabs>
          <w:tab w:val="left" w:pos="720"/>
        </w:tabs>
        <w:autoSpaceDE w:val="0"/>
        <w:autoSpaceDN w:val="0"/>
        <w:adjustRightInd w:val="0"/>
        <w:spacing w:line="360" w:lineRule="auto"/>
        <w:rPr>
          <w:rFonts w:ascii="Verdana" w:hAnsi="Verdana" w:cs="Tahoma"/>
          <w:i/>
          <w:iCs/>
          <w:sz w:val="17"/>
          <w:szCs w:val="17"/>
          <w:lang w:val="en-AU" w:eastAsia="en-AU"/>
        </w:rPr>
      </w:pPr>
    </w:p>
    <w:p w:rsidR="008C0B12" w:rsidRPr="006A2ADA" w:rsidRDefault="008C0B12" w:rsidP="008C0B12">
      <w:pPr>
        <w:numPr>
          <w:ilvl w:val="1"/>
          <w:numId w:val="14"/>
        </w:numPr>
        <w:tabs>
          <w:tab w:val="left" w:pos="720"/>
        </w:tabs>
        <w:autoSpaceDE w:val="0"/>
        <w:autoSpaceDN w:val="0"/>
        <w:adjustRightInd w:val="0"/>
        <w:spacing w:line="360" w:lineRule="auto"/>
        <w:rPr>
          <w:rFonts w:ascii="Verdana" w:hAnsi="Verdana" w:cs="Tahoma"/>
          <w:b/>
          <w:sz w:val="17"/>
          <w:szCs w:val="17"/>
          <w:lang w:val="en-AU" w:eastAsia="en-AU"/>
        </w:rPr>
      </w:pPr>
      <w:r w:rsidRPr="006A2ADA">
        <w:rPr>
          <w:rFonts w:ascii="Verdana" w:hAnsi="Verdana" w:cs="Tahoma"/>
          <w:sz w:val="17"/>
          <w:szCs w:val="17"/>
          <w:lang w:val="en-AU" w:eastAsia="en-AU"/>
        </w:rPr>
        <w:t>The Chief Justice appoints experienced barristers and solicitors as arbitrators following a nomination by their respective professional associations. Arbitrators generally hold their appointment for two years, and they may be reappointed for further periods.</w:t>
      </w:r>
    </w:p>
    <w:p w:rsidR="008C0B12" w:rsidRPr="006A2ADA" w:rsidRDefault="008C0B12" w:rsidP="008C0B12">
      <w:pPr>
        <w:tabs>
          <w:tab w:val="left" w:pos="720"/>
        </w:tabs>
        <w:autoSpaceDE w:val="0"/>
        <w:autoSpaceDN w:val="0"/>
        <w:adjustRightInd w:val="0"/>
        <w:spacing w:line="360" w:lineRule="auto"/>
        <w:rPr>
          <w:rFonts w:ascii="Verdana" w:hAnsi="Verdana" w:cs="Tahoma"/>
          <w:b/>
          <w:sz w:val="17"/>
          <w:szCs w:val="17"/>
          <w:lang w:val="en-AU" w:eastAsia="en-AU"/>
        </w:rPr>
      </w:pPr>
    </w:p>
    <w:p w:rsidR="008C0B12" w:rsidRPr="006A2ADA" w:rsidRDefault="008C0B12" w:rsidP="008C0B12">
      <w:pPr>
        <w:numPr>
          <w:ilvl w:val="1"/>
          <w:numId w:val="14"/>
        </w:numPr>
        <w:tabs>
          <w:tab w:val="left" w:pos="720"/>
        </w:tabs>
        <w:autoSpaceDE w:val="0"/>
        <w:autoSpaceDN w:val="0"/>
        <w:adjustRightInd w:val="0"/>
        <w:spacing w:line="360" w:lineRule="auto"/>
        <w:rPr>
          <w:rFonts w:ascii="Verdana" w:hAnsi="Verdana" w:cs="Tahoma"/>
          <w:b/>
          <w:sz w:val="17"/>
          <w:szCs w:val="17"/>
          <w:lang w:val="en-AU" w:eastAsia="en-AU"/>
        </w:rPr>
      </w:pPr>
      <w:r w:rsidRPr="006A2ADA">
        <w:rPr>
          <w:rFonts w:ascii="Verdana" w:hAnsi="Verdana" w:cs="Tahoma"/>
          <w:sz w:val="17"/>
          <w:szCs w:val="17"/>
        </w:rPr>
        <w:t>In contrast to a mediator, an arbitrator imposes a solution (an award) on the parties after considering the arguments and evidence presented. An award of an arbitrator becomes a final judgment of the Court 28 days after the award has been given, providing no party to the arbitration has applied within that time for a rehearing. If a party applies for a rehearing, then the dispute is referred for case management, to be heard afresh before a Judge.</w:t>
      </w:r>
    </w:p>
    <w:p w:rsidR="005B47E2" w:rsidRPr="006A2ADA" w:rsidRDefault="005B47E2" w:rsidP="008C0B12">
      <w:pPr>
        <w:autoSpaceDE w:val="0"/>
        <w:autoSpaceDN w:val="0"/>
        <w:adjustRightInd w:val="0"/>
        <w:spacing w:line="360" w:lineRule="auto"/>
        <w:rPr>
          <w:rFonts w:ascii="Verdana" w:hAnsi="Verdana" w:cs="Tahoma"/>
          <w:sz w:val="17"/>
          <w:szCs w:val="17"/>
        </w:rPr>
      </w:pPr>
    </w:p>
    <w:p w:rsidR="008C0B12" w:rsidRPr="006A2ADA" w:rsidRDefault="008C0B12" w:rsidP="008C0B12">
      <w:pPr>
        <w:autoSpaceDE w:val="0"/>
        <w:autoSpaceDN w:val="0"/>
        <w:adjustRightInd w:val="0"/>
        <w:spacing w:line="360" w:lineRule="auto"/>
        <w:rPr>
          <w:rFonts w:ascii="Verdana" w:hAnsi="Verdana" w:cs="Tahoma"/>
          <w:b/>
          <w:sz w:val="17"/>
          <w:szCs w:val="17"/>
        </w:rPr>
      </w:pPr>
      <w:r w:rsidRPr="006A2ADA">
        <w:rPr>
          <w:rFonts w:ascii="Verdana" w:hAnsi="Verdana" w:cs="Tahoma"/>
          <w:b/>
          <w:sz w:val="17"/>
          <w:szCs w:val="17"/>
        </w:rPr>
        <w:t>5.</w:t>
      </w:r>
      <w:r w:rsidRPr="006A2ADA">
        <w:rPr>
          <w:rFonts w:ascii="Verdana" w:hAnsi="Verdana" w:cs="Tahoma"/>
          <w:b/>
          <w:sz w:val="17"/>
          <w:szCs w:val="17"/>
        </w:rPr>
        <w:tab/>
        <w:t>The Appeals Process</w:t>
      </w:r>
    </w:p>
    <w:p w:rsidR="008C0B12" w:rsidRPr="006A2ADA" w:rsidRDefault="008C0B12" w:rsidP="008C0B12">
      <w:pPr>
        <w:autoSpaceDE w:val="0"/>
        <w:autoSpaceDN w:val="0"/>
        <w:adjustRightInd w:val="0"/>
        <w:spacing w:line="360" w:lineRule="auto"/>
        <w:rPr>
          <w:rFonts w:ascii="Verdana" w:hAnsi="Verdana" w:cs="Tahoma"/>
          <w:b/>
          <w:i/>
          <w:sz w:val="17"/>
          <w:szCs w:val="17"/>
          <w:u w:val="single"/>
        </w:rPr>
      </w:pPr>
    </w:p>
    <w:p w:rsidR="008C0B12" w:rsidRPr="006A2ADA" w:rsidRDefault="008C0B12" w:rsidP="008C0B12">
      <w:pPr>
        <w:spacing w:line="360" w:lineRule="auto"/>
        <w:rPr>
          <w:rFonts w:ascii="Verdana" w:hAnsi="Verdana" w:cs="Tahoma"/>
          <w:bCs/>
          <w:sz w:val="17"/>
          <w:szCs w:val="17"/>
          <w:u w:val="single"/>
          <w:lang w:val="en-AU" w:eastAsia="en-AU"/>
        </w:rPr>
      </w:pPr>
      <w:r w:rsidRPr="006A2ADA">
        <w:rPr>
          <w:rFonts w:ascii="Verdana" w:hAnsi="Verdana" w:cs="Tahoma"/>
          <w:b/>
          <w:bCs/>
          <w:i/>
          <w:sz w:val="17"/>
          <w:szCs w:val="17"/>
          <w:lang w:val="en-AU" w:eastAsia="en-AU"/>
        </w:rPr>
        <w:tab/>
      </w:r>
      <w:r w:rsidRPr="006A2ADA">
        <w:rPr>
          <w:rFonts w:ascii="Verdana" w:hAnsi="Verdana" w:cs="Tahoma"/>
          <w:bCs/>
          <w:sz w:val="17"/>
          <w:szCs w:val="17"/>
          <w:u w:val="single"/>
          <w:lang w:val="en-AU" w:eastAsia="en-AU"/>
        </w:rPr>
        <w:t>The Court of Appeal</w:t>
      </w:r>
    </w:p>
    <w:p w:rsidR="008C0B12" w:rsidRPr="006A2ADA" w:rsidRDefault="008C0B12" w:rsidP="008C0B12">
      <w:pPr>
        <w:spacing w:line="360" w:lineRule="auto"/>
        <w:rPr>
          <w:rFonts w:ascii="Verdana" w:hAnsi="Verdana" w:cs="Tahoma"/>
          <w:b/>
          <w:bCs/>
          <w:sz w:val="17"/>
          <w:szCs w:val="17"/>
          <w:lang w:val="en-AU" w:eastAsia="en-AU"/>
        </w:rPr>
      </w:pPr>
    </w:p>
    <w:p w:rsidR="008C0B12" w:rsidRPr="006A2ADA" w:rsidRDefault="008C0B12" w:rsidP="008C0B12">
      <w:pPr>
        <w:numPr>
          <w:ilvl w:val="1"/>
          <w:numId w:val="15"/>
        </w:numPr>
        <w:autoSpaceDE w:val="0"/>
        <w:autoSpaceDN w:val="0"/>
        <w:adjustRightInd w:val="0"/>
        <w:spacing w:line="360" w:lineRule="auto"/>
        <w:rPr>
          <w:rFonts w:ascii="Verdana" w:hAnsi="Verdana" w:cs="Tahoma"/>
          <w:sz w:val="17"/>
          <w:szCs w:val="17"/>
        </w:rPr>
      </w:pPr>
      <w:r w:rsidRPr="006A2ADA">
        <w:rPr>
          <w:rFonts w:ascii="Verdana" w:hAnsi="Verdana" w:cs="Tahoma"/>
          <w:sz w:val="17"/>
          <w:szCs w:val="17"/>
        </w:rPr>
        <w:t xml:space="preserve">New appeal cases are initially reviewed for competency and, if necessary, referred back to legal representatives to either substantiate the claim of appeal as of right, or seek leave to appeal. Applications for leave to appeal are examined to ascertain whether they are suitable for hearing concurrently with the argument on appeal. </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rPr>
      </w:pPr>
    </w:p>
    <w:p w:rsidR="008C0B12" w:rsidRPr="006A2ADA" w:rsidRDefault="008C0B12" w:rsidP="008C0B12">
      <w:pPr>
        <w:numPr>
          <w:ilvl w:val="1"/>
          <w:numId w:val="15"/>
        </w:numPr>
        <w:tabs>
          <w:tab w:val="left" w:pos="720"/>
        </w:tabs>
        <w:autoSpaceDE w:val="0"/>
        <w:autoSpaceDN w:val="0"/>
        <w:adjustRightInd w:val="0"/>
        <w:spacing w:line="360" w:lineRule="auto"/>
        <w:rPr>
          <w:rFonts w:ascii="Verdana" w:hAnsi="Verdana" w:cs="Tahoma"/>
          <w:sz w:val="17"/>
          <w:szCs w:val="17"/>
        </w:rPr>
      </w:pPr>
      <w:r w:rsidRPr="006A2ADA">
        <w:rPr>
          <w:rFonts w:ascii="Verdana" w:hAnsi="Verdana" w:cs="Tahoma"/>
          <w:sz w:val="17"/>
          <w:szCs w:val="17"/>
        </w:rPr>
        <w:t xml:space="preserve">Appeals are allocated a directions call-over date before the Registrar when a notice of appeal is filed. At that call-over, the appeal may be listed for hearing if the appellant has filed written submissions and the red appeal book. Case management may be ordered with respect to lengthy or complex appeals. </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rPr>
      </w:pPr>
    </w:p>
    <w:p w:rsidR="008C0B12" w:rsidRPr="006A2ADA" w:rsidRDefault="008C0B12" w:rsidP="008C0B12">
      <w:pPr>
        <w:numPr>
          <w:ilvl w:val="1"/>
          <w:numId w:val="15"/>
        </w:numPr>
        <w:tabs>
          <w:tab w:val="left" w:pos="720"/>
        </w:tabs>
        <w:autoSpaceDE w:val="0"/>
        <w:autoSpaceDN w:val="0"/>
        <w:adjustRightInd w:val="0"/>
        <w:spacing w:line="360" w:lineRule="auto"/>
        <w:rPr>
          <w:rFonts w:ascii="Verdana" w:hAnsi="Verdana" w:cs="Tahoma"/>
          <w:sz w:val="17"/>
          <w:szCs w:val="17"/>
        </w:rPr>
      </w:pPr>
      <w:r w:rsidRPr="006A2ADA">
        <w:rPr>
          <w:rFonts w:ascii="Verdana" w:hAnsi="Verdana" w:cs="Tahoma"/>
          <w:sz w:val="17"/>
          <w:szCs w:val="17"/>
        </w:rPr>
        <w:t>The Registrar case-manages and lists most appeals and applications for leave to appeal, however some cases may be referred to a Judge of Appeal for special case management. Urgent cases are expedited and can be heard at short notice, if appropriate. The Registrar in the Court of Appeal also deals with most interlocutory applications, except applications to stay judgments pending an appeal.</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rPr>
      </w:pPr>
    </w:p>
    <w:p w:rsidR="008C0B12" w:rsidRPr="006A2ADA" w:rsidRDefault="008C0B12" w:rsidP="008C0B12">
      <w:pPr>
        <w:numPr>
          <w:ilvl w:val="1"/>
          <w:numId w:val="15"/>
        </w:numPr>
        <w:tabs>
          <w:tab w:val="left" w:pos="720"/>
        </w:tabs>
        <w:autoSpaceDE w:val="0"/>
        <w:autoSpaceDN w:val="0"/>
        <w:adjustRightInd w:val="0"/>
        <w:spacing w:line="360" w:lineRule="auto"/>
        <w:rPr>
          <w:rFonts w:ascii="Verdana" w:hAnsi="Verdana" w:cs="Tahoma"/>
          <w:sz w:val="17"/>
          <w:szCs w:val="17"/>
        </w:rPr>
      </w:pPr>
      <w:r w:rsidRPr="006A2ADA">
        <w:rPr>
          <w:rFonts w:ascii="Verdana" w:hAnsi="Verdana" w:cs="Tahoma"/>
          <w:color w:val="000000"/>
          <w:sz w:val="17"/>
          <w:szCs w:val="17"/>
          <w:lang w:val="en-AU" w:eastAsia="en-AU"/>
        </w:rPr>
        <w:t>The Court of Appeal is the highest civil court in the State. It hears appeals from civil proceedings before:</w:t>
      </w:r>
    </w:p>
    <w:p w:rsidR="008C0B12" w:rsidRPr="006A2ADA" w:rsidRDefault="008C0B12" w:rsidP="008C0B12">
      <w:pPr>
        <w:numPr>
          <w:ilvl w:val="0"/>
          <w:numId w:val="8"/>
        </w:numPr>
        <w:tabs>
          <w:tab w:val="clear" w:pos="720"/>
          <w:tab w:val="left" w:pos="1800"/>
        </w:tabs>
        <w:spacing w:before="100" w:beforeAutospacing="1" w:after="100" w:afterAutospacing="1" w:line="360" w:lineRule="auto"/>
        <w:ind w:left="1800" w:hanging="540"/>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the Supreme Court; </w:t>
      </w:r>
    </w:p>
    <w:p w:rsidR="008C0B12" w:rsidRPr="006A2ADA" w:rsidRDefault="008C0B12" w:rsidP="008C0B12">
      <w:pPr>
        <w:numPr>
          <w:ilvl w:val="0"/>
          <w:numId w:val="8"/>
        </w:numPr>
        <w:tabs>
          <w:tab w:val="clear" w:pos="720"/>
          <w:tab w:val="left" w:pos="1800"/>
        </w:tabs>
        <w:spacing w:before="100" w:beforeAutospacing="1" w:after="100" w:afterAutospacing="1" w:line="360" w:lineRule="auto"/>
        <w:ind w:left="1800" w:hanging="540"/>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the District Court; </w:t>
      </w:r>
    </w:p>
    <w:p w:rsidR="008C0B12" w:rsidRPr="006A2ADA" w:rsidRDefault="008C0B12" w:rsidP="008C0B12">
      <w:pPr>
        <w:numPr>
          <w:ilvl w:val="0"/>
          <w:numId w:val="8"/>
        </w:numPr>
        <w:tabs>
          <w:tab w:val="clear" w:pos="720"/>
          <w:tab w:val="left" w:pos="1800"/>
        </w:tabs>
        <w:spacing w:before="100" w:beforeAutospacing="1" w:after="100" w:afterAutospacing="1" w:line="360" w:lineRule="auto"/>
        <w:ind w:left="1800" w:hanging="540"/>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the Land and </w:t>
      </w:r>
      <w:smartTag w:uri="urn:schemas-microsoft-com:office:smarttags" w:element="Street">
        <w:smartTag w:uri="urn:schemas-microsoft-com:office:smarttags" w:element="address">
          <w:r w:rsidRPr="006A2ADA">
            <w:rPr>
              <w:rFonts w:ascii="Verdana" w:hAnsi="Verdana" w:cs="Tahoma"/>
              <w:color w:val="000000"/>
              <w:sz w:val="17"/>
              <w:szCs w:val="17"/>
              <w:lang w:val="en-AU" w:eastAsia="en-AU"/>
            </w:rPr>
            <w:t>Environment Court</w:t>
          </w:r>
        </w:smartTag>
      </w:smartTag>
      <w:r w:rsidRPr="006A2ADA">
        <w:rPr>
          <w:rFonts w:ascii="Verdana" w:hAnsi="Verdana" w:cs="Tahoma"/>
          <w:color w:val="000000"/>
          <w:sz w:val="17"/>
          <w:szCs w:val="17"/>
          <w:lang w:val="en-AU" w:eastAsia="en-AU"/>
        </w:rPr>
        <w:t xml:space="preserve">; and </w:t>
      </w:r>
    </w:p>
    <w:p w:rsidR="008C0B12" w:rsidRPr="006A2ADA" w:rsidRDefault="008C0B12" w:rsidP="008C0B12">
      <w:pPr>
        <w:numPr>
          <w:ilvl w:val="0"/>
          <w:numId w:val="8"/>
        </w:numPr>
        <w:tabs>
          <w:tab w:val="clear" w:pos="720"/>
          <w:tab w:val="left" w:pos="1800"/>
        </w:tabs>
        <w:spacing w:before="100" w:beforeAutospacing="1" w:after="100" w:afterAutospacing="1" w:line="360" w:lineRule="auto"/>
        <w:ind w:left="1800" w:hanging="540"/>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some tribunals.</w:t>
      </w:r>
    </w:p>
    <w:p w:rsidR="008C0B12" w:rsidRPr="006A2ADA" w:rsidRDefault="008C0B12" w:rsidP="008C0B12">
      <w:pPr>
        <w:pStyle w:val="Default"/>
        <w:numPr>
          <w:ilvl w:val="1"/>
          <w:numId w:val="15"/>
        </w:numPr>
        <w:spacing w:line="360" w:lineRule="auto"/>
        <w:rPr>
          <w:rFonts w:ascii="Verdana" w:hAnsi="Verdana" w:cs="Tahoma"/>
          <w:sz w:val="17"/>
          <w:szCs w:val="17"/>
        </w:rPr>
      </w:pPr>
      <w:r w:rsidRPr="006A2ADA">
        <w:rPr>
          <w:rFonts w:ascii="Verdana" w:hAnsi="Verdana" w:cs="Tahoma"/>
          <w:sz w:val="17"/>
          <w:szCs w:val="17"/>
        </w:rPr>
        <w:t xml:space="preserve">Any appeal made to an appellate court absent the existence of a statutory right is incompetent.   The relevant statute will determine the scope of the right of appeal. The right to </w:t>
      </w:r>
      <w:r w:rsidRPr="006A2ADA">
        <w:rPr>
          <w:rFonts w:ascii="Verdana" w:hAnsi="Verdana" w:cs="Tahoma"/>
          <w:sz w:val="17"/>
          <w:szCs w:val="17"/>
        </w:rPr>
        <w:lastRenderedPageBreak/>
        <w:t>appeal from a decision in a Division of the Supreme Court to the Court of Appeal is created, and the jurisdiction conferred on the Court of Appeal, by the Supreme Court Act (SCA) Part 7, (ss 101-110).</w:t>
      </w:r>
    </w:p>
    <w:p w:rsidR="008C0B12" w:rsidRPr="006A2ADA" w:rsidRDefault="008C0B12" w:rsidP="008C0B12">
      <w:pPr>
        <w:pStyle w:val="Default"/>
        <w:tabs>
          <w:tab w:val="left" w:pos="720"/>
        </w:tabs>
        <w:spacing w:line="360" w:lineRule="auto"/>
        <w:rPr>
          <w:rFonts w:ascii="Verdana" w:hAnsi="Verdana" w:cs="Tahoma"/>
          <w:sz w:val="17"/>
          <w:szCs w:val="17"/>
        </w:rPr>
      </w:pPr>
    </w:p>
    <w:p w:rsidR="008C0B12" w:rsidRPr="006A2ADA" w:rsidRDefault="008C0B12" w:rsidP="008C0B12">
      <w:pPr>
        <w:pStyle w:val="Default"/>
        <w:numPr>
          <w:ilvl w:val="1"/>
          <w:numId w:val="15"/>
        </w:numPr>
        <w:tabs>
          <w:tab w:val="left" w:pos="720"/>
        </w:tabs>
        <w:spacing w:line="360" w:lineRule="auto"/>
        <w:rPr>
          <w:rFonts w:ascii="Verdana" w:hAnsi="Verdana" w:cs="Tahoma"/>
          <w:sz w:val="17"/>
          <w:szCs w:val="17"/>
        </w:rPr>
      </w:pPr>
      <w:r w:rsidRPr="006A2ADA">
        <w:rPr>
          <w:rFonts w:ascii="Verdana" w:hAnsi="Verdana" w:cs="Tahoma"/>
          <w:sz w:val="17"/>
          <w:szCs w:val="17"/>
        </w:rPr>
        <w:t xml:space="preserve">The </w:t>
      </w:r>
      <w:r w:rsidRPr="006A2ADA">
        <w:rPr>
          <w:rFonts w:ascii="Verdana" w:hAnsi="Verdana" w:cs="Tahoma"/>
          <w:i/>
          <w:sz w:val="17"/>
          <w:szCs w:val="17"/>
        </w:rPr>
        <w:t>District Court Act</w:t>
      </w:r>
      <w:r w:rsidRPr="006A2ADA">
        <w:rPr>
          <w:rFonts w:ascii="Verdana" w:hAnsi="Verdana" w:cs="Tahoma"/>
          <w:sz w:val="17"/>
          <w:szCs w:val="17"/>
        </w:rPr>
        <w:t xml:space="preserve"> </w:t>
      </w:r>
      <w:r w:rsidRPr="006A2ADA">
        <w:rPr>
          <w:rFonts w:ascii="Verdana" w:hAnsi="Verdana" w:cs="Tahoma"/>
          <w:i/>
          <w:sz w:val="17"/>
          <w:szCs w:val="17"/>
        </w:rPr>
        <w:t>1973</w:t>
      </w:r>
      <w:r w:rsidRPr="006A2ADA">
        <w:rPr>
          <w:rFonts w:ascii="Verdana" w:hAnsi="Verdana" w:cs="Tahoma"/>
          <w:sz w:val="17"/>
          <w:szCs w:val="17"/>
        </w:rPr>
        <w:t xml:space="preserve"> No 9 provides the scope of the right of appeal, together with the requirement of leave to appeal in regard to classes of decision including:</w:t>
      </w:r>
    </w:p>
    <w:p w:rsidR="008C0B12" w:rsidRPr="006A2ADA" w:rsidRDefault="008C0B12" w:rsidP="008C0B12">
      <w:pPr>
        <w:tabs>
          <w:tab w:val="left" w:pos="720"/>
        </w:tabs>
        <w:autoSpaceDE w:val="0"/>
        <w:autoSpaceDN w:val="0"/>
        <w:adjustRightInd w:val="0"/>
        <w:spacing w:before="120" w:after="120" w:line="360" w:lineRule="auto"/>
        <w:jc w:val="both"/>
        <w:rPr>
          <w:rFonts w:ascii="Verdana" w:hAnsi="Verdana" w:cs="Tahoma"/>
          <w:color w:val="000000"/>
          <w:sz w:val="17"/>
          <w:szCs w:val="17"/>
          <w:u w:val="single"/>
          <w:lang w:val="en-AU" w:eastAsia="en-AU"/>
        </w:rPr>
      </w:pPr>
      <w:r w:rsidRPr="006A2ADA">
        <w:rPr>
          <w:rFonts w:ascii="Verdana" w:hAnsi="Verdana" w:cs="Tahoma"/>
          <w:b/>
          <w:bCs/>
          <w:color w:val="000000"/>
          <w:sz w:val="17"/>
          <w:szCs w:val="17"/>
          <w:lang w:val="en-AU" w:eastAsia="en-AU"/>
        </w:rPr>
        <w:tab/>
      </w:r>
      <w:r w:rsidRPr="006A2ADA">
        <w:rPr>
          <w:rFonts w:ascii="Verdana" w:hAnsi="Verdana" w:cs="Tahoma"/>
          <w:bCs/>
          <w:color w:val="000000"/>
          <w:sz w:val="17"/>
          <w:szCs w:val="17"/>
          <w:u w:val="single"/>
          <w:lang w:val="en-AU" w:eastAsia="en-AU"/>
        </w:rPr>
        <w:t xml:space="preserve">127 Right of appeal to Supreme Court </w:t>
      </w:r>
    </w:p>
    <w:p w:rsidR="008C0B12" w:rsidRPr="006A2ADA" w:rsidRDefault="008C0B12" w:rsidP="008C0B12">
      <w:pPr>
        <w:tabs>
          <w:tab w:val="left" w:pos="1980"/>
        </w:tabs>
        <w:autoSpaceDE w:val="0"/>
        <w:autoSpaceDN w:val="0"/>
        <w:adjustRightInd w:val="0"/>
        <w:spacing w:before="120" w:after="120" w:line="360" w:lineRule="auto"/>
        <w:ind w:left="1980" w:hanging="860"/>
        <w:jc w:val="both"/>
        <w:rPr>
          <w:rFonts w:ascii="Verdana" w:hAnsi="Verdana" w:cs="Tahoma"/>
          <w:color w:val="000000"/>
          <w:sz w:val="17"/>
          <w:szCs w:val="17"/>
          <w:lang w:val="en-AU" w:eastAsia="en-AU"/>
        </w:rPr>
      </w:pPr>
      <w:r w:rsidRPr="006A2ADA">
        <w:rPr>
          <w:rFonts w:ascii="Verdana" w:hAnsi="Verdana" w:cs="Tahoma"/>
          <w:bCs/>
          <w:color w:val="000000"/>
          <w:sz w:val="17"/>
          <w:szCs w:val="17"/>
          <w:lang w:val="en-AU" w:eastAsia="en-AU"/>
        </w:rPr>
        <w:t xml:space="preserve">(1) </w:t>
      </w:r>
      <w:r w:rsidRPr="006A2ADA">
        <w:rPr>
          <w:rFonts w:ascii="Verdana" w:hAnsi="Verdana" w:cs="Tahoma"/>
          <w:bCs/>
          <w:color w:val="000000"/>
          <w:sz w:val="17"/>
          <w:szCs w:val="17"/>
          <w:lang w:val="en-AU" w:eastAsia="en-AU"/>
        </w:rPr>
        <w:tab/>
        <w:t xml:space="preserve">A party who is dissatisfied with a Judge’s or a Judicial Registrar’s judgment or order in an action may appeal to the Supreme Court. </w:t>
      </w:r>
    </w:p>
    <w:p w:rsidR="008C0B12" w:rsidRPr="006A2ADA" w:rsidRDefault="008C0B12" w:rsidP="008C0B12">
      <w:pPr>
        <w:tabs>
          <w:tab w:val="left" w:pos="1980"/>
        </w:tabs>
        <w:autoSpaceDE w:val="0"/>
        <w:autoSpaceDN w:val="0"/>
        <w:adjustRightInd w:val="0"/>
        <w:spacing w:before="120" w:after="120" w:line="360" w:lineRule="auto"/>
        <w:ind w:left="1980" w:hanging="860"/>
        <w:jc w:val="both"/>
        <w:rPr>
          <w:rFonts w:ascii="Verdana" w:hAnsi="Verdana" w:cs="Tahoma"/>
          <w:color w:val="000000"/>
          <w:sz w:val="17"/>
          <w:szCs w:val="17"/>
          <w:lang w:val="en-AU" w:eastAsia="en-AU"/>
        </w:rPr>
      </w:pPr>
      <w:r w:rsidRPr="006A2ADA">
        <w:rPr>
          <w:rFonts w:ascii="Verdana" w:hAnsi="Verdana" w:cs="Tahoma"/>
          <w:bCs/>
          <w:color w:val="000000"/>
          <w:sz w:val="17"/>
          <w:szCs w:val="17"/>
          <w:lang w:val="en-AU" w:eastAsia="en-AU"/>
        </w:rPr>
        <w:t xml:space="preserve">(2) </w:t>
      </w:r>
      <w:r w:rsidRPr="006A2ADA">
        <w:rPr>
          <w:rFonts w:ascii="Verdana" w:hAnsi="Verdana" w:cs="Tahoma"/>
          <w:bCs/>
          <w:color w:val="000000"/>
          <w:sz w:val="17"/>
          <w:szCs w:val="17"/>
          <w:lang w:val="en-AU" w:eastAsia="en-AU"/>
        </w:rPr>
        <w:tab/>
        <w:t xml:space="preserve">The following appeals lie only by leave of the Supreme Court: </w:t>
      </w:r>
    </w:p>
    <w:p w:rsidR="008C0B12" w:rsidRPr="006A2ADA" w:rsidRDefault="008C0B12" w:rsidP="008C0B12">
      <w:pPr>
        <w:tabs>
          <w:tab w:val="left" w:pos="3060"/>
        </w:tabs>
        <w:autoSpaceDE w:val="0"/>
        <w:autoSpaceDN w:val="0"/>
        <w:adjustRightInd w:val="0"/>
        <w:spacing w:before="120" w:after="120" w:line="360" w:lineRule="auto"/>
        <w:ind w:left="3060" w:hanging="108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(a) </w:t>
      </w:r>
      <w:r w:rsidRPr="006A2ADA">
        <w:rPr>
          <w:rFonts w:ascii="Verdana" w:hAnsi="Verdana" w:cs="Tahoma"/>
          <w:color w:val="000000"/>
          <w:sz w:val="17"/>
          <w:szCs w:val="17"/>
          <w:lang w:val="en-AU" w:eastAsia="en-AU"/>
        </w:rPr>
        <w:tab/>
        <w:t xml:space="preserve">an appeal from an interlocutory judgment or order, </w:t>
      </w:r>
    </w:p>
    <w:p w:rsidR="008C0B12" w:rsidRPr="006A2ADA" w:rsidRDefault="008C0B12" w:rsidP="008C0B12">
      <w:pPr>
        <w:tabs>
          <w:tab w:val="left" w:pos="3060"/>
        </w:tabs>
        <w:autoSpaceDE w:val="0"/>
        <w:autoSpaceDN w:val="0"/>
        <w:adjustRightInd w:val="0"/>
        <w:spacing w:before="120" w:after="120" w:line="360" w:lineRule="auto"/>
        <w:ind w:left="3060" w:hanging="108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(b) </w:t>
      </w:r>
      <w:r w:rsidRPr="006A2ADA">
        <w:rPr>
          <w:rFonts w:ascii="Verdana" w:hAnsi="Verdana" w:cs="Tahoma"/>
          <w:color w:val="000000"/>
          <w:sz w:val="17"/>
          <w:szCs w:val="17"/>
          <w:lang w:val="en-AU" w:eastAsia="en-AU"/>
        </w:rPr>
        <w:tab/>
        <w:t xml:space="preserve">an appeal from a judgment or order as to costs only, </w:t>
      </w:r>
    </w:p>
    <w:p w:rsidR="008C0B12" w:rsidRPr="006A2ADA" w:rsidRDefault="008C0B12" w:rsidP="008C0B12">
      <w:pPr>
        <w:tabs>
          <w:tab w:val="left" w:pos="3060"/>
        </w:tabs>
        <w:autoSpaceDE w:val="0"/>
        <w:autoSpaceDN w:val="0"/>
        <w:adjustRightInd w:val="0"/>
        <w:spacing w:before="120" w:after="120" w:line="360" w:lineRule="auto"/>
        <w:ind w:left="3060" w:hanging="108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(c) </w:t>
      </w:r>
      <w:r w:rsidRPr="006A2ADA">
        <w:rPr>
          <w:rFonts w:ascii="Verdana" w:hAnsi="Verdana" w:cs="Tahoma"/>
          <w:color w:val="000000"/>
          <w:sz w:val="17"/>
          <w:szCs w:val="17"/>
          <w:lang w:val="en-AU" w:eastAsia="en-AU"/>
        </w:rPr>
        <w:tab/>
        <w:t xml:space="preserve">an appeal from a final judgment or order, other than an appeal: </w:t>
      </w:r>
    </w:p>
    <w:p w:rsidR="008C0B12" w:rsidRPr="006A2ADA" w:rsidRDefault="008C0B12" w:rsidP="008C0B12">
      <w:pPr>
        <w:tabs>
          <w:tab w:val="left" w:pos="3600"/>
        </w:tabs>
        <w:autoSpaceDE w:val="0"/>
        <w:autoSpaceDN w:val="0"/>
        <w:adjustRightInd w:val="0"/>
        <w:spacing w:before="120" w:after="120" w:line="360" w:lineRule="auto"/>
        <w:ind w:left="3600" w:hanging="54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(i) </w:t>
      </w:r>
      <w:r w:rsidRPr="006A2ADA">
        <w:rPr>
          <w:rFonts w:ascii="Verdana" w:hAnsi="Verdana" w:cs="Tahoma"/>
          <w:color w:val="000000"/>
          <w:sz w:val="17"/>
          <w:szCs w:val="17"/>
          <w:lang w:val="en-AU" w:eastAsia="en-AU"/>
        </w:rPr>
        <w:tab/>
        <w:t xml:space="preserve">that involves a matter at issue amounting to or of the value of $100,000 or more, or </w:t>
      </w:r>
    </w:p>
    <w:p w:rsidR="008C0B12" w:rsidRPr="006A2ADA" w:rsidRDefault="008C0B12" w:rsidP="008C0B12">
      <w:pPr>
        <w:tabs>
          <w:tab w:val="left" w:pos="3060"/>
          <w:tab w:val="left" w:pos="3600"/>
        </w:tabs>
        <w:autoSpaceDE w:val="0"/>
        <w:autoSpaceDN w:val="0"/>
        <w:adjustRightInd w:val="0"/>
        <w:spacing w:before="120" w:after="120" w:line="360" w:lineRule="auto"/>
        <w:ind w:left="3600" w:hanging="194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ab/>
        <w:t xml:space="preserve">(ii) </w:t>
      </w:r>
      <w:r w:rsidRPr="006A2ADA">
        <w:rPr>
          <w:rFonts w:ascii="Verdana" w:hAnsi="Verdana" w:cs="Tahoma"/>
          <w:color w:val="000000"/>
          <w:sz w:val="17"/>
          <w:szCs w:val="17"/>
          <w:lang w:val="en-AU" w:eastAsia="en-AU"/>
        </w:rPr>
        <w:tab/>
        <w:t xml:space="preserve">that involves (directly or indirectly) any claim, demand or question to or respecting any property or civil right amounting to or of the value of $100,000 or more, </w:t>
      </w:r>
    </w:p>
    <w:p w:rsidR="008C0B12" w:rsidRPr="006A2ADA" w:rsidRDefault="008C0B12" w:rsidP="008C0B12">
      <w:pPr>
        <w:tabs>
          <w:tab w:val="left" w:pos="3060"/>
        </w:tabs>
        <w:autoSpaceDE w:val="0"/>
        <w:autoSpaceDN w:val="0"/>
        <w:adjustRightInd w:val="0"/>
        <w:spacing w:before="120" w:after="120" w:line="360" w:lineRule="auto"/>
        <w:ind w:left="3060" w:hanging="108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(d) </w:t>
      </w:r>
      <w:r w:rsidRPr="006A2ADA">
        <w:rPr>
          <w:rFonts w:ascii="Verdana" w:hAnsi="Verdana" w:cs="Tahoma"/>
          <w:color w:val="000000"/>
          <w:sz w:val="17"/>
          <w:szCs w:val="17"/>
          <w:lang w:val="en-AU" w:eastAsia="en-AU"/>
        </w:rPr>
        <w:tab/>
        <w:t xml:space="preserve">an appeal from a judgment or order on an application for summary judgment under the rules, </w:t>
      </w:r>
    </w:p>
    <w:p w:rsidR="008C0B12" w:rsidRPr="006A2ADA" w:rsidRDefault="008C0B12" w:rsidP="008C0B12">
      <w:pPr>
        <w:tabs>
          <w:tab w:val="left" w:pos="3060"/>
        </w:tabs>
        <w:autoSpaceDE w:val="0"/>
        <w:autoSpaceDN w:val="0"/>
        <w:adjustRightInd w:val="0"/>
        <w:spacing w:before="120" w:after="120" w:line="360" w:lineRule="auto"/>
        <w:ind w:left="1120" w:firstLine="860"/>
        <w:jc w:val="both"/>
        <w:rPr>
          <w:rFonts w:ascii="Verdana" w:hAnsi="Verdana" w:cs="Tahoma"/>
          <w:color w:val="000000"/>
          <w:sz w:val="17"/>
          <w:szCs w:val="17"/>
          <w:lang w:val="en-AU" w:eastAsia="en-AU"/>
        </w:rPr>
      </w:pPr>
      <w:r w:rsidRPr="006A2ADA">
        <w:rPr>
          <w:rFonts w:ascii="Verdana" w:hAnsi="Verdana" w:cs="Tahoma"/>
          <w:color w:val="000000"/>
          <w:sz w:val="17"/>
          <w:szCs w:val="17"/>
          <w:lang w:val="en-AU" w:eastAsia="en-AU"/>
        </w:rPr>
        <w:t xml:space="preserve">(e) </w:t>
      </w:r>
      <w:r w:rsidRPr="006A2ADA">
        <w:rPr>
          <w:rFonts w:ascii="Verdana" w:hAnsi="Verdana" w:cs="Tahoma"/>
          <w:color w:val="000000"/>
          <w:sz w:val="17"/>
          <w:szCs w:val="17"/>
          <w:lang w:val="en-AU" w:eastAsia="en-AU"/>
        </w:rPr>
        <w:tab/>
        <w:t xml:space="preserve">an appeal from an order made with the consent of </w:t>
      </w:r>
      <w:r w:rsidRPr="006A2ADA">
        <w:rPr>
          <w:rFonts w:ascii="Verdana" w:hAnsi="Verdana" w:cs="Tahoma"/>
          <w:color w:val="000000"/>
          <w:sz w:val="17"/>
          <w:szCs w:val="17"/>
          <w:lang w:val="en-AU" w:eastAsia="en-AU"/>
        </w:rPr>
        <w:tab/>
        <w:t xml:space="preserve">the parties. </w:t>
      </w:r>
    </w:p>
    <w:p w:rsidR="008C0B12" w:rsidRPr="006A2ADA" w:rsidRDefault="008C0B12" w:rsidP="008C0B12">
      <w:pPr>
        <w:tabs>
          <w:tab w:val="left" w:pos="1980"/>
        </w:tabs>
        <w:autoSpaceDE w:val="0"/>
        <w:autoSpaceDN w:val="0"/>
        <w:adjustRightInd w:val="0"/>
        <w:spacing w:before="120" w:after="120" w:line="360" w:lineRule="auto"/>
        <w:ind w:left="1120"/>
        <w:jc w:val="both"/>
        <w:rPr>
          <w:rFonts w:ascii="Verdana" w:hAnsi="Verdana" w:cs="Tahoma"/>
          <w:color w:val="000000"/>
          <w:sz w:val="17"/>
          <w:szCs w:val="17"/>
          <w:lang w:val="en-AU" w:eastAsia="en-AU"/>
        </w:rPr>
      </w:pPr>
      <w:r w:rsidRPr="006A2ADA">
        <w:rPr>
          <w:rFonts w:ascii="Verdana" w:hAnsi="Verdana" w:cs="Tahoma"/>
          <w:bCs/>
          <w:color w:val="000000"/>
          <w:sz w:val="17"/>
          <w:szCs w:val="17"/>
          <w:lang w:val="en-AU" w:eastAsia="en-AU"/>
        </w:rPr>
        <w:t xml:space="preserve">(3) </w:t>
      </w:r>
      <w:r w:rsidRPr="006A2ADA">
        <w:rPr>
          <w:rFonts w:ascii="Verdana" w:hAnsi="Verdana" w:cs="Tahoma"/>
          <w:bCs/>
          <w:color w:val="000000"/>
          <w:sz w:val="17"/>
          <w:szCs w:val="17"/>
          <w:lang w:val="en-AU" w:eastAsia="en-AU"/>
        </w:rPr>
        <w:tab/>
        <w:t xml:space="preserve">In any other case, an appeal lies as of right. </w:t>
      </w:r>
    </w:p>
    <w:p w:rsidR="008C0B12" w:rsidRPr="006A2ADA" w:rsidRDefault="008C0B12" w:rsidP="008C0B12">
      <w:pPr>
        <w:pStyle w:val="Default"/>
        <w:spacing w:line="360" w:lineRule="auto"/>
        <w:rPr>
          <w:rFonts w:ascii="Verdana" w:hAnsi="Verdana" w:cs="Tahoma"/>
          <w:sz w:val="17"/>
          <w:szCs w:val="17"/>
        </w:rPr>
      </w:pPr>
    </w:p>
    <w:p w:rsidR="008C0B12" w:rsidRPr="006A2ADA" w:rsidRDefault="008C0B12" w:rsidP="008C0B12">
      <w:pPr>
        <w:pStyle w:val="Default"/>
        <w:numPr>
          <w:ilvl w:val="1"/>
          <w:numId w:val="15"/>
        </w:numPr>
        <w:spacing w:line="360" w:lineRule="auto"/>
        <w:rPr>
          <w:rFonts w:ascii="Verdana" w:hAnsi="Verdana" w:cs="Tahoma"/>
          <w:sz w:val="17"/>
          <w:szCs w:val="17"/>
        </w:rPr>
      </w:pPr>
      <w:r w:rsidRPr="006A2ADA">
        <w:rPr>
          <w:rFonts w:ascii="Verdana" w:hAnsi="Verdana" w:cs="Tahoma"/>
          <w:sz w:val="17"/>
          <w:szCs w:val="17"/>
        </w:rPr>
        <w:t>An appeal may lie from the order, d</w:t>
      </w:r>
      <w:r w:rsidR="00195982" w:rsidRPr="006A2ADA">
        <w:rPr>
          <w:rFonts w:ascii="Verdana" w:hAnsi="Verdana" w:cs="Tahoma"/>
          <w:sz w:val="17"/>
          <w:szCs w:val="17"/>
        </w:rPr>
        <w:t>ecision or judgement; no appeal</w:t>
      </w:r>
      <w:r w:rsidRPr="006A2ADA">
        <w:rPr>
          <w:rFonts w:ascii="Verdana" w:hAnsi="Verdana" w:cs="Tahoma"/>
          <w:sz w:val="17"/>
          <w:szCs w:val="17"/>
        </w:rPr>
        <w:t xml:space="preserve"> lies from the reasons for the decision.  The grounds for appeal are that the determination was made in error or that the interests of justice require that the determination be set aside.</w:t>
      </w:r>
    </w:p>
    <w:p w:rsidR="008C0B12" w:rsidRPr="006A2ADA" w:rsidRDefault="008C0B12" w:rsidP="008C0B12">
      <w:pPr>
        <w:pStyle w:val="Default"/>
        <w:spacing w:line="360" w:lineRule="auto"/>
        <w:rPr>
          <w:rFonts w:ascii="Verdana" w:hAnsi="Verdana" w:cs="Tahoma"/>
          <w:sz w:val="17"/>
          <w:szCs w:val="17"/>
        </w:rPr>
      </w:pPr>
    </w:p>
    <w:p w:rsidR="008C0B12" w:rsidRPr="006A2ADA" w:rsidRDefault="008C0B12" w:rsidP="008C0B12">
      <w:pPr>
        <w:pStyle w:val="Default"/>
        <w:numPr>
          <w:ilvl w:val="1"/>
          <w:numId w:val="15"/>
        </w:numPr>
        <w:spacing w:line="360" w:lineRule="auto"/>
        <w:rPr>
          <w:rFonts w:ascii="Verdana" w:hAnsi="Verdana" w:cs="Tahoma"/>
          <w:sz w:val="17"/>
          <w:szCs w:val="17"/>
        </w:rPr>
      </w:pPr>
      <w:r w:rsidRPr="006A2ADA">
        <w:rPr>
          <w:rFonts w:ascii="Verdana" w:hAnsi="Verdana" w:cs="Tahoma"/>
          <w:sz w:val="17"/>
          <w:szCs w:val="17"/>
        </w:rPr>
        <w:t xml:space="preserve">Identifying and articulating error in the challenged decision with precision and clarity is the most effective means of conducting an appeal. </w:t>
      </w:r>
    </w:p>
    <w:p w:rsidR="008C0B12" w:rsidRPr="006A2ADA" w:rsidRDefault="008C0B12" w:rsidP="008C0B12">
      <w:pPr>
        <w:pStyle w:val="Default"/>
        <w:spacing w:line="360" w:lineRule="auto"/>
        <w:rPr>
          <w:rFonts w:ascii="Verdana" w:hAnsi="Verdana" w:cs="Tahoma"/>
          <w:sz w:val="17"/>
          <w:szCs w:val="17"/>
        </w:rPr>
      </w:pPr>
    </w:p>
    <w:p w:rsidR="008C0B12" w:rsidRPr="006A2ADA" w:rsidRDefault="008C0B12" w:rsidP="008C0B12">
      <w:pPr>
        <w:pStyle w:val="Default"/>
        <w:numPr>
          <w:ilvl w:val="1"/>
          <w:numId w:val="15"/>
        </w:numPr>
        <w:spacing w:line="360" w:lineRule="auto"/>
        <w:rPr>
          <w:rFonts w:ascii="Verdana" w:hAnsi="Verdana" w:cs="Tahoma"/>
          <w:sz w:val="17"/>
          <w:szCs w:val="17"/>
        </w:rPr>
      </w:pPr>
      <w:r w:rsidRPr="006A2ADA">
        <w:rPr>
          <w:rFonts w:ascii="Verdana" w:hAnsi="Verdana" w:cs="Tahoma"/>
          <w:sz w:val="17"/>
          <w:szCs w:val="17"/>
        </w:rPr>
        <w:t>Most appeals are heard by three Judges, but some are heard by two and in special cases, they may be heard by more than three. If the Judges cannot agree, the majority view prevails. Matters arising before the appeal can be heard and dealt with by a single Judge of Appeal or the Registrar.</w:t>
      </w:r>
    </w:p>
    <w:p w:rsidR="008C0B12" w:rsidRPr="006A2ADA" w:rsidRDefault="008C0B12" w:rsidP="008C0B12">
      <w:pPr>
        <w:pStyle w:val="Default"/>
        <w:spacing w:line="360" w:lineRule="auto"/>
        <w:rPr>
          <w:rFonts w:ascii="Verdana" w:hAnsi="Verdana" w:cs="Tahoma"/>
          <w:sz w:val="17"/>
          <w:szCs w:val="17"/>
        </w:rPr>
      </w:pPr>
    </w:p>
    <w:p w:rsidR="008C0B12" w:rsidRPr="006A2ADA" w:rsidRDefault="008C0B12" w:rsidP="008C0B12">
      <w:pPr>
        <w:pStyle w:val="Default"/>
        <w:numPr>
          <w:ilvl w:val="1"/>
          <w:numId w:val="15"/>
        </w:numPr>
        <w:spacing w:line="360" w:lineRule="auto"/>
        <w:rPr>
          <w:rFonts w:ascii="Verdana" w:hAnsi="Verdana" w:cs="Tahoma"/>
          <w:sz w:val="17"/>
          <w:szCs w:val="17"/>
        </w:rPr>
      </w:pPr>
      <w:r w:rsidRPr="006A2ADA">
        <w:rPr>
          <w:rFonts w:ascii="Verdana" w:hAnsi="Verdana" w:cs="Tahoma"/>
          <w:sz w:val="17"/>
          <w:szCs w:val="17"/>
        </w:rPr>
        <w:t>To appeal to the High Court from the Court of Appeal, a special permission must be granted by the High Court.</w:t>
      </w:r>
    </w:p>
    <w:p w:rsidR="008C0B12" w:rsidRPr="006A2ADA" w:rsidRDefault="006A2ADA" w:rsidP="008C0B12">
      <w:pPr>
        <w:autoSpaceDE w:val="0"/>
        <w:autoSpaceDN w:val="0"/>
        <w:adjustRightInd w:val="0"/>
        <w:spacing w:line="360" w:lineRule="auto"/>
        <w:rPr>
          <w:rFonts w:ascii="Verdana" w:hAnsi="Verdana" w:cs="Tahoma"/>
          <w:b/>
          <w:sz w:val="17"/>
          <w:szCs w:val="17"/>
          <w:lang w:val="en-AU" w:eastAsia="en-AU"/>
        </w:rPr>
      </w:pPr>
      <w:r>
        <w:rPr>
          <w:rFonts w:ascii="Verdana" w:hAnsi="Verdana" w:cs="Tahoma"/>
          <w:sz w:val="17"/>
          <w:szCs w:val="17"/>
          <w:lang w:val="en-AU" w:eastAsia="en-AU"/>
        </w:rPr>
        <w:br w:type="page"/>
      </w:r>
      <w:r w:rsidR="008C0B12" w:rsidRPr="006A2ADA">
        <w:rPr>
          <w:rFonts w:ascii="Verdana" w:hAnsi="Verdana" w:cs="Tahoma"/>
          <w:b/>
          <w:sz w:val="17"/>
          <w:szCs w:val="17"/>
          <w:lang w:val="en-AU" w:eastAsia="en-AU"/>
        </w:rPr>
        <w:lastRenderedPageBreak/>
        <w:t>6.</w:t>
      </w:r>
      <w:r w:rsidR="008C0B12" w:rsidRPr="006A2ADA">
        <w:rPr>
          <w:rFonts w:ascii="Verdana" w:hAnsi="Verdana" w:cs="Tahoma"/>
          <w:b/>
          <w:sz w:val="17"/>
          <w:szCs w:val="17"/>
          <w:lang w:val="en-AU" w:eastAsia="en-AU"/>
        </w:rPr>
        <w:tab/>
        <w:t xml:space="preserve">Offers of Compromise and </w:t>
      </w:r>
      <w:r w:rsidR="008C0B12" w:rsidRPr="006A2ADA">
        <w:rPr>
          <w:rFonts w:ascii="Verdana" w:hAnsi="Verdana" w:cs="Tahoma"/>
          <w:b/>
          <w:i/>
          <w:sz w:val="17"/>
          <w:szCs w:val="17"/>
          <w:lang w:val="en-AU" w:eastAsia="en-AU"/>
        </w:rPr>
        <w:t>Calderbank</w:t>
      </w:r>
      <w:r w:rsidR="008C0B12" w:rsidRPr="006A2ADA">
        <w:rPr>
          <w:rFonts w:ascii="Verdana" w:hAnsi="Verdana" w:cs="Tahoma"/>
          <w:b/>
          <w:sz w:val="17"/>
          <w:szCs w:val="17"/>
          <w:lang w:val="en-AU" w:eastAsia="en-AU"/>
        </w:rPr>
        <w:t xml:space="preserve"> letters </w:t>
      </w:r>
    </w:p>
    <w:p w:rsidR="008C0B12" w:rsidRPr="006A2ADA" w:rsidRDefault="008C0B12" w:rsidP="008C0B12">
      <w:pPr>
        <w:tabs>
          <w:tab w:val="left" w:pos="720"/>
        </w:tabs>
        <w:spacing w:before="100" w:beforeAutospacing="1" w:after="100" w:afterAutospacing="1" w:line="360" w:lineRule="auto"/>
        <w:ind w:left="720" w:hanging="720"/>
        <w:rPr>
          <w:rFonts w:ascii="Verdana" w:hAnsi="Verdana" w:cs="Tahoma"/>
          <w:color w:val="000000"/>
          <w:sz w:val="17"/>
          <w:szCs w:val="17"/>
          <w:lang w:eastAsia="en-AU"/>
        </w:rPr>
      </w:pPr>
      <w:r w:rsidRPr="006A2ADA">
        <w:rPr>
          <w:rFonts w:ascii="Verdana" w:hAnsi="Verdana" w:cs="Tahoma"/>
          <w:b/>
          <w:color w:val="000000"/>
          <w:sz w:val="17"/>
          <w:szCs w:val="17"/>
          <w:lang w:eastAsia="en-AU"/>
        </w:rPr>
        <w:t>6.1</w:t>
      </w:r>
      <w:r w:rsidRPr="006A2ADA">
        <w:rPr>
          <w:rFonts w:ascii="Verdana" w:hAnsi="Verdana" w:cs="Tahoma"/>
          <w:b/>
          <w:color w:val="000000"/>
          <w:sz w:val="17"/>
          <w:szCs w:val="17"/>
          <w:lang w:eastAsia="en-AU"/>
        </w:rPr>
        <w:tab/>
      </w:r>
      <w:r w:rsidRPr="006A2ADA">
        <w:rPr>
          <w:rFonts w:ascii="Verdana" w:hAnsi="Verdana" w:cs="Tahoma"/>
          <w:color w:val="000000"/>
          <w:sz w:val="17"/>
          <w:szCs w:val="17"/>
          <w:lang w:eastAsia="en-AU"/>
        </w:rPr>
        <w:t xml:space="preserve">In broad terms, these two devices provide a sanction as to costs against a party who unreasonably fails to accept an offer of settlement. Settlement is thereby encouraged and a measure of relief is afforded to the party who incurs costs unnecessarily as a consequence of such unreasonable conduct. </w:t>
      </w:r>
    </w:p>
    <w:p w:rsidR="008C0B12" w:rsidRPr="006A2ADA" w:rsidRDefault="008C0B12" w:rsidP="008C0B12">
      <w:pPr>
        <w:autoSpaceDE w:val="0"/>
        <w:autoSpaceDN w:val="0"/>
        <w:adjustRightInd w:val="0"/>
        <w:spacing w:line="360" w:lineRule="auto"/>
        <w:rPr>
          <w:rFonts w:ascii="Verdana" w:hAnsi="Verdana" w:cs="Tahoma"/>
          <w:sz w:val="17"/>
          <w:szCs w:val="17"/>
          <w:u w:val="single"/>
          <w:lang w:val="en-AU" w:eastAsia="en-AU"/>
        </w:rPr>
      </w:pPr>
      <w:r w:rsidRPr="006A2ADA">
        <w:rPr>
          <w:rFonts w:ascii="Verdana" w:hAnsi="Verdana" w:cs="Tahoma"/>
          <w:b/>
          <w:sz w:val="17"/>
          <w:szCs w:val="17"/>
          <w:lang w:val="en-AU" w:eastAsia="en-AU"/>
        </w:rPr>
        <w:tab/>
      </w:r>
      <w:r w:rsidRPr="006A2ADA">
        <w:rPr>
          <w:rFonts w:ascii="Verdana" w:hAnsi="Verdana" w:cs="Tahoma"/>
          <w:sz w:val="17"/>
          <w:szCs w:val="17"/>
          <w:u w:val="single"/>
          <w:lang w:val="en-AU" w:eastAsia="en-AU"/>
        </w:rPr>
        <w:t>Offers of Compromise</w:t>
      </w:r>
    </w:p>
    <w:p w:rsidR="008C0B12" w:rsidRPr="006A2ADA" w:rsidRDefault="008C0B12" w:rsidP="008C0B12">
      <w:pPr>
        <w:autoSpaceDE w:val="0"/>
        <w:autoSpaceDN w:val="0"/>
        <w:adjustRightInd w:val="0"/>
        <w:spacing w:line="360" w:lineRule="auto"/>
        <w:rPr>
          <w:rFonts w:ascii="Verdana" w:hAnsi="Verdana" w:cs="Tahoma"/>
          <w:b/>
          <w:i/>
          <w:sz w:val="17"/>
          <w:szCs w:val="17"/>
          <w:u w:val="single"/>
          <w:lang w:val="en-AU" w:eastAsia="en-AU"/>
        </w:rPr>
      </w:pPr>
    </w:p>
    <w:p w:rsidR="008C0B12" w:rsidRPr="006A2ADA" w:rsidRDefault="008C0B12" w:rsidP="008C0B12">
      <w:pPr>
        <w:numPr>
          <w:ilvl w:val="1"/>
          <w:numId w:val="16"/>
        </w:numPr>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rPr>
        <w:t xml:space="preserve">Offers of Compromise are available to all parties in litigation, not just the Defendant. Essentially, there will be a costs penalty against the party who rejects an Offer, proceeds to trial, and then fails to obtain an amount which is greater than the original Offer. </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lang w:eastAsia="en-AU"/>
        </w:rPr>
        <w:t xml:space="preserve">The rules under UCPR Pt 42 Div 3 provide for a formalised offer of compromise and a relatively certain consequence as to costs depending on the outcome of the proceedings. </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lang w:eastAsia="en-AU"/>
        </w:rPr>
        <w:t xml:space="preserve">An offer of compromise under the rules is an alternative to the informal and less predictable </w:t>
      </w:r>
      <w:r w:rsidRPr="006A2ADA">
        <w:rPr>
          <w:rFonts w:ascii="Verdana" w:hAnsi="Verdana" w:cs="Tahoma"/>
          <w:i/>
          <w:color w:val="000000"/>
          <w:sz w:val="17"/>
          <w:szCs w:val="17"/>
          <w:lang w:eastAsia="en-AU"/>
        </w:rPr>
        <w:t>Calderbank</w:t>
      </w:r>
      <w:r w:rsidRPr="006A2ADA">
        <w:rPr>
          <w:rFonts w:ascii="Verdana" w:hAnsi="Verdana" w:cs="Tahoma"/>
          <w:color w:val="000000"/>
          <w:sz w:val="17"/>
          <w:szCs w:val="17"/>
          <w:lang w:eastAsia="en-AU"/>
        </w:rPr>
        <w:t xml:space="preserve"> letter.</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rPr>
        <w:t>It is significant that both Plaintiffs and Defendants can use the Offer of Compromise system. An example of a Plaintiff using the system is where a Plaintiff would settle for less than the judgment which it finally obtained. In such a case, the court will award costs on a significantly more generous basis than if the Plaintiff's Offer of Compromise had not been made.</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rPr>
        <w:t xml:space="preserve">It can be seen that the purpose of the Offer of Compromise rules is to encourage parties to realistically assess their chances of success and then take steps to resolve the proceedings, without unnecessarily dragging the litigation on. Careful consideration of the prospects of success and the likely outcome of the litigation is encouraged by the Offer of Compromise mechanism. </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lang w:eastAsia="en-AU"/>
        </w:rPr>
        <w:t xml:space="preserve">The offer must involve a real element of compromise: </w:t>
      </w:r>
      <w:r w:rsidRPr="006A2ADA">
        <w:rPr>
          <w:rFonts w:ascii="Verdana" w:hAnsi="Verdana" w:cs="Tahoma"/>
          <w:i/>
          <w:iCs/>
          <w:color w:val="000000"/>
          <w:sz w:val="17"/>
          <w:szCs w:val="17"/>
          <w:lang w:eastAsia="en-AU"/>
        </w:rPr>
        <w:t>Tickell v Trifleska Pty Ltd</w:t>
      </w:r>
      <w:r w:rsidRPr="006A2ADA">
        <w:rPr>
          <w:rFonts w:ascii="Verdana" w:hAnsi="Verdana" w:cs="Tahoma"/>
          <w:color w:val="000000"/>
          <w:sz w:val="17"/>
          <w:szCs w:val="17"/>
          <w:lang w:eastAsia="en-AU"/>
        </w:rPr>
        <w:t xml:space="preserve"> (1990) 25 NSWLR 353; </w:t>
      </w:r>
      <w:r w:rsidRPr="006A2ADA">
        <w:rPr>
          <w:rFonts w:ascii="Verdana" w:hAnsi="Verdana" w:cs="Tahoma"/>
          <w:i/>
          <w:iCs/>
          <w:color w:val="000000"/>
          <w:sz w:val="17"/>
          <w:szCs w:val="17"/>
          <w:lang w:eastAsia="en-AU"/>
        </w:rPr>
        <w:t>Hobartville Stud Pty Ltd v Union Insurance Co Ltd</w:t>
      </w:r>
      <w:r w:rsidRPr="006A2ADA">
        <w:rPr>
          <w:rFonts w:ascii="Verdana" w:hAnsi="Verdana" w:cs="Tahoma"/>
          <w:color w:val="000000"/>
          <w:sz w:val="17"/>
          <w:szCs w:val="17"/>
          <w:lang w:eastAsia="en-AU"/>
        </w:rPr>
        <w:t xml:space="preserve"> (1991) 25 NSWLR 358. An offer to accept payment of the claim in full does not ordinarily qualify: </w:t>
      </w:r>
      <w:r w:rsidRPr="006A2ADA">
        <w:rPr>
          <w:rFonts w:ascii="Verdana" w:hAnsi="Verdana" w:cs="Tahoma"/>
          <w:i/>
          <w:iCs/>
          <w:color w:val="000000"/>
          <w:sz w:val="17"/>
          <w:szCs w:val="17"/>
          <w:lang w:eastAsia="en-AU"/>
        </w:rPr>
        <w:t>Richardson v Hough</w:t>
      </w:r>
      <w:r w:rsidRPr="006A2ADA">
        <w:rPr>
          <w:rFonts w:ascii="Verdana" w:hAnsi="Verdana" w:cs="Tahoma"/>
          <w:color w:val="000000"/>
          <w:sz w:val="17"/>
          <w:szCs w:val="17"/>
          <w:lang w:eastAsia="en-AU"/>
        </w:rPr>
        <w:t xml:space="preserve"> [1999] NSWSC 448. An offer to settle a weak plaintiff’s case need not be substantial: </w:t>
      </w:r>
      <w:r w:rsidRPr="006A2ADA">
        <w:rPr>
          <w:rFonts w:ascii="Verdana" w:hAnsi="Verdana" w:cs="Tahoma"/>
          <w:i/>
          <w:iCs/>
          <w:color w:val="000000"/>
          <w:sz w:val="17"/>
          <w:szCs w:val="17"/>
          <w:lang w:eastAsia="en-AU"/>
        </w:rPr>
        <w:t>Leichhardt Municipal Council v Green</w:t>
      </w:r>
      <w:r w:rsidRPr="006A2ADA">
        <w:rPr>
          <w:rFonts w:ascii="Verdana" w:hAnsi="Verdana" w:cs="Tahoma"/>
          <w:color w:val="000000"/>
          <w:sz w:val="17"/>
          <w:szCs w:val="17"/>
          <w:lang w:eastAsia="en-AU"/>
        </w:rPr>
        <w:t xml:space="preserve"> [2004] NSWCA 341. </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b/>
          <w:bCs/>
          <w:color w:val="000000"/>
          <w:sz w:val="17"/>
          <w:szCs w:val="17"/>
          <w:lang w:eastAsia="en-AU"/>
        </w:rPr>
        <w:t>Rule 42.15</w:t>
      </w:r>
      <w:r w:rsidRPr="006A2ADA">
        <w:rPr>
          <w:rFonts w:ascii="Verdana" w:hAnsi="Verdana" w:cs="Tahoma"/>
          <w:color w:val="000000"/>
          <w:sz w:val="17"/>
          <w:szCs w:val="17"/>
          <w:lang w:eastAsia="en-AU"/>
        </w:rPr>
        <w:t xml:space="preserve"> applies where an offer, made by a defendant, is not accepted by the plaintiff, and the plaintiff obtains a result as or less favourable to the plaintiff: r 42.15(1). </w:t>
      </w:r>
    </w:p>
    <w:p w:rsidR="008C0B12" w:rsidRPr="006A2ADA" w:rsidRDefault="008C0B12" w:rsidP="008C0B12">
      <w:pPr>
        <w:tabs>
          <w:tab w:val="left" w:pos="720"/>
        </w:tabs>
        <w:autoSpaceDE w:val="0"/>
        <w:autoSpaceDN w:val="0"/>
        <w:adjustRightInd w:val="0"/>
        <w:spacing w:line="360" w:lineRule="auto"/>
        <w:rPr>
          <w:rFonts w:ascii="Verdana" w:hAnsi="Verdana" w:cs="Tahoma"/>
          <w:color w:val="000000"/>
          <w:sz w:val="17"/>
          <w:szCs w:val="17"/>
        </w:rPr>
      </w:pPr>
    </w:p>
    <w:p w:rsidR="008C0B12" w:rsidRPr="006A2ADA" w:rsidRDefault="008C0B12" w:rsidP="008C0B12">
      <w:pPr>
        <w:numPr>
          <w:ilvl w:val="1"/>
          <w:numId w:val="16"/>
        </w:numPr>
        <w:tabs>
          <w:tab w:val="left" w:pos="720"/>
        </w:tabs>
        <w:autoSpaceDE w:val="0"/>
        <w:autoSpaceDN w:val="0"/>
        <w:adjustRightInd w:val="0"/>
        <w:spacing w:line="360" w:lineRule="auto"/>
        <w:rPr>
          <w:rFonts w:ascii="Verdana" w:hAnsi="Verdana" w:cs="Tahoma"/>
          <w:color w:val="000000"/>
          <w:sz w:val="17"/>
          <w:szCs w:val="17"/>
        </w:rPr>
      </w:pPr>
      <w:r w:rsidRPr="006A2ADA">
        <w:rPr>
          <w:rFonts w:ascii="Verdana" w:hAnsi="Verdana" w:cs="Tahoma"/>
          <w:color w:val="000000"/>
          <w:sz w:val="17"/>
          <w:szCs w:val="17"/>
          <w:lang w:eastAsia="en-AU"/>
        </w:rPr>
        <w:t>The consequence, specified in r 42.15(2), is as follows. Unless the court otherwise orders:</w:t>
      </w:r>
    </w:p>
    <w:p w:rsidR="008C0B12" w:rsidRPr="006A2ADA" w:rsidRDefault="008C0B12" w:rsidP="008C0B12">
      <w:pPr>
        <w:tabs>
          <w:tab w:val="left" w:pos="1800"/>
        </w:tabs>
        <w:spacing w:line="360" w:lineRule="auto"/>
        <w:ind w:left="1800" w:hanging="540"/>
        <w:rPr>
          <w:rFonts w:ascii="Verdana" w:hAnsi="Verdana" w:cs="Tahoma"/>
          <w:color w:val="000000"/>
          <w:sz w:val="17"/>
          <w:szCs w:val="17"/>
          <w:lang w:eastAsia="en-AU"/>
        </w:rPr>
      </w:pPr>
      <w:r w:rsidRPr="006A2ADA">
        <w:rPr>
          <w:rFonts w:ascii="Verdana" w:hAnsi="Verdana" w:cs="Tahoma"/>
          <w:color w:val="000000"/>
          <w:sz w:val="17"/>
          <w:szCs w:val="17"/>
          <w:lang w:eastAsia="en-AU"/>
        </w:rPr>
        <w:t>(a) </w:t>
      </w:r>
      <w:r w:rsidRPr="006A2ADA">
        <w:rPr>
          <w:rFonts w:ascii="Verdana" w:hAnsi="Verdana" w:cs="Tahoma"/>
          <w:color w:val="000000"/>
          <w:sz w:val="17"/>
          <w:szCs w:val="17"/>
          <w:lang w:eastAsia="en-AU"/>
        </w:rPr>
        <w:tab/>
        <w:t xml:space="preserve">the plaintiff is entitled to an order against the defendant for the plaintiff’s costs in respect of the claim, to be assessed on the ordinary basis, up to the time from which the defendant becomes entitled to costs under para (b), and </w:t>
      </w:r>
    </w:p>
    <w:p w:rsidR="008C0B12" w:rsidRPr="006A2ADA" w:rsidRDefault="008C0B12" w:rsidP="008C0B12">
      <w:pPr>
        <w:tabs>
          <w:tab w:val="left" w:pos="1800"/>
        </w:tabs>
        <w:spacing w:line="360" w:lineRule="auto"/>
        <w:ind w:left="1800" w:hanging="540"/>
        <w:rPr>
          <w:rFonts w:ascii="Verdana" w:hAnsi="Verdana" w:cs="Tahoma"/>
          <w:color w:val="000000"/>
          <w:sz w:val="17"/>
          <w:szCs w:val="17"/>
          <w:lang w:eastAsia="en-AU"/>
        </w:rPr>
      </w:pPr>
    </w:p>
    <w:p w:rsidR="008C0B12" w:rsidRPr="006A2ADA" w:rsidRDefault="008C0B12" w:rsidP="008C0B12">
      <w:pPr>
        <w:tabs>
          <w:tab w:val="left" w:pos="1260"/>
          <w:tab w:val="left" w:pos="1800"/>
        </w:tabs>
        <w:spacing w:line="360" w:lineRule="auto"/>
        <w:ind w:left="1800" w:hanging="1800"/>
        <w:rPr>
          <w:rFonts w:ascii="Verdana" w:hAnsi="Verdana" w:cs="Tahoma"/>
          <w:color w:val="000000"/>
          <w:sz w:val="17"/>
          <w:szCs w:val="17"/>
          <w:lang w:eastAsia="en-AU"/>
        </w:rPr>
      </w:pPr>
      <w:r w:rsidRPr="006A2ADA">
        <w:rPr>
          <w:rFonts w:ascii="Verdana" w:hAnsi="Verdana" w:cs="Tahoma"/>
          <w:color w:val="000000"/>
          <w:sz w:val="17"/>
          <w:szCs w:val="17"/>
          <w:lang w:eastAsia="en-AU"/>
        </w:rPr>
        <w:tab/>
        <w:t xml:space="preserve">(b)  </w:t>
      </w:r>
      <w:r w:rsidRPr="006A2ADA">
        <w:rPr>
          <w:rFonts w:ascii="Verdana" w:hAnsi="Verdana" w:cs="Tahoma"/>
          <w:color w:val="000000"/>
          <w:sz w:val="17"/>
          <w:szCs w:val="17"/>
          <w:lang w:eastAsia="en-AU"/>
        </w:rPr>
        <w:tab/>
        <w:t xml:space="preserve">the defendant is entitled to an order against the plaintiff for the defendant’s costs in respect of the claim, assessed on an indemnity basis: </w:t>
      </w:r>
    </w:p>
    <w:p w:rsidR="008C0B12" w:rsidRPr="006A2ADA" w:rsidRDefault="008C0B12" w:rsidP="008C0B12">
      <w:pPr>
        <w:tabs>
          <w:tab w:val="left" w:pos="1260"/>
          <w:tab w:val="left" w:pos="1800"/>
        </w:tabs>
        <w:spacing w:line="360" w:lineRule="auto"/>
        <w:ind w:left="1800" w:hanging="1800"/>
        <w:rPr>
          <w:rFonts w:ascii="Verdana" w:hAnsi="Verdana" w:cs="Tahoma"/>
          <w:color w:val="000000"/>
          <w:sz w:val="17"/>
          <w:szCs w:val="17"/>
          <w:lang w:eastAsia="en-AU"/>
        </w:rPr>
      </w:pPr>
    </w:p>
    <w:p w:rsidR="008C0B12" w:rsidRPr="006A2ADA" w:rsidRDefault="008C0B12" w:rsidP="008C0B12">
      <w:pPr>
        <w:numPr>
          <w:ilvl w:val="1"/>
          <w:numId w:val="8"/>
        </w:numPr>
        <w:tabs>
          <w:tab w:val="clear" w:pos="1800"/>
          <w:tab w:val="num" w:pos="2700"/>
        </w:tabs>
        <w:spacing w:line="360" w:lineRule="auto"/>
        <w:ind w:left="2700" w:hanging="900"/>
        <w:rPr>
          <w:rFonts w:ascii="Verdana" w:hAnsi="Verdana" w:cs="Tahoma"/>
          <w:color w:val="000000"/>
          <w:sz w:val="17"/>
          <w:szCs w:val="17"/>
          <w:lang w:eastAsia="en-AU"/>
        </w:rPr>
      </w:pPr>
      <w:r w:rsidRPr="006A2ADA">
        <w:rPr>
          <w:rFonts w:ascii="Verdana" w:hAnsi="Verdana" w:cs="Tahoma"/>
          <w:color w:val="000000"/>
          <w:sz w:val="17"/>
          <w:szCs w:val="17"/>
          <w:lang w:eastAsia="en-AU"/>
        </w:rPr>
        <w:lastRenderedPageBreak/>
        <w:t xml:space="preserve">if the offer was made before the first day of the trial, as from the beginning of the day following the day on which the offer was made, and </w:t>
      </w:r>
    </w:p>
    <w:p w:rsidR="008C0B12" w:rsidRPr="006A2ADA" w:rsidRDefault="008C0B12" w:rsidP="008C0B12">
      <w:pPr>
        <w:numPr>
          <w:ilvl w:val="1"/>
          <w:numId w:val="8"/>
        </w:numPr>
        <w:tabs>
          <w:tab w:val="clear" w:pos="1800"/>
          <w:tab w:val="num" w:pos="2700"/>
        </w:tabs>
        <w:spacing w:line="360" w:lineRule="auto"/>
        <w:ind w:left="2700" w:hanging="900"/>
        <w:rPr>
          <w:rFonts w:ascii="Verdana" w:hAnsi="Verdana" w:cs="Tahoma"/>
          <w:color w:val="000000"/>
          <w:sz w:val="17"/>
          <w:szCs w:val="17"/>
          <w:lang w:eastAsia="en-AU"/>
        </w:rPr>
      </w:pPr>
      <w:r w:rsidRPr="006A2ADA">
        <w:rPr>
          <w:rFonts w:ascii="Verdana" w:hAnsi="Verdana" w:cs="Tahoma"/>
          <w:color w:val="000000"/>
          <w:sz w:val="17"/>
          <w:szCs w:val="17"/>
          <w:lang w:eastAsia="en-AU"/>
        </w:rPr>
        <w:t xml:space="preserve">if the offer was made on or after the first day of the trial, as from 11 am on the day following the day on which the offer was made. </w:t>
      </w:r>
    </w:p>
    <w:p w:rsidR="008C0B12" w:rsidRPr="006A2ADA" w:rsidRDefault="008C0B12" w:rsidP="008C0B12">
      <w:pPr>
        <w:tabs>
          <w:tab w:val="left" w:pos="720"/>
        </w:tabs>
        <w:spacing w:before="100" w:beforeAutospacing="1" w:after="100" w:afterAutospacing="1" w:line="360" w:lineRule="auto"/>
        <w:ind w:left="720" w:hanging="720"/>
        <w:rPr>
          <w:rFonts w:ascii="Verdana" w:hAnsi="Verdana" w:cs="Tahoma"/>
          <w:color w:val="000000"/>
          <w:sz w:val="17"/>
          <w:szCs w:val="17"/>
          <w:lang w:eastAsia="en-AU"/>
        </w:rPr>
      </w:pPr>
      <w:r w:rsidRPr="006A2ADA">
        <w:rPr>
          <w:rFonts w:ascii="Verdana" w:hAnsi="Verdana" w:cs="Tahoma"/>
          <w:b/>
          <w:color w:val="000000"/>
          <w:sz w:val="17"/>
          <w:szCs w:val="17"/>
          <w:lang w:eastAsia="en-AU"/>
        </w:rPr>
        <w:t>6.9</w:t>
      </w:r>
      <w:r w:rsidRPr="006A2ADA">
        <w:rPr>
          <w:rFonts w:ascii="Verdana" w:hAnsi="Verdana" w:cs="Tahoma"/>
          <w:b/>
          <w:color w:val="000000"/>
          <w:sz w:val="17"/>
          <w:szCs w:val="17"/>
          <w:lang w:eastAsia="en-AU"/>
        </w:rPr>
        <w:tab/>
      </w:r>
      <w:r w:rsidRPr="006A2ADA">
        <w:rPr>
          <w:rFonts w:ascii="Verdana" w:hAnsi="Verdana" w:cs="Tahoma"/>
          <w:color w:val="000000"/>
          <w:sz w:val="17"/>
          <w:szCs w:val="17"/>
          <w:lang w:eastAsia="en-AU"/>
        </w:rPr>
        <w:t xml:space="preserve">Where a purported offer of compromise is defective under the rules it may be treated as having the force of a </w:t>
      </w:r>
      <w:r w:rsidRPr="006A2ADA">
        <w:rPr>
          <w:rFonts w:ascii="Verdana" w:hAnsi="Verdana" w:cs="Tahoma"/>
          <w:i/>
          <w:color w:val="000000"/>
          <w:sz w:val="17"/>
          <w:szCs w:val="17"/>
          <w:lang w:eastAsia="en-AU"/>
        </w:rPr>
        <w:t>Calderbank</w:t>
      </w:r>
      <w:r w:rsidRPr="006A2ADA">
        <w:rPr>
          <w:rFonts w:ascii="Verdana" w:hAnsi="Verdana" w:cs="Tahoma"/>
          <w:color w:val="000000"/>
          <w:sz w:val="17"/>
          <w:szCs w:val="17"/>
          <w:lang w:eastAsia="en-AU"/>
        </w:rPr>
        <w:t xml:space="preserve"> letter: </w:t>
      </w:r>
      <w:r w:rsidRPr="006A2ADA">
        <w:rPr>
          <w:rFonts w:ascii="Verdana" w:hAnsi="Verdana" w:cs="Tahoma"/>
          <w:i/>
          <w:iCs/>
          <w:color w:val="000000"/>
          <w:sz w:val="17"/>
          <w:szCs w:val="17"/>
          <w:lang w:eastAsia="en-AU"/>
        </w:rPr>
        <w:t>SMEC Testing Services Pty Ltd v Campbelltown City Council</w:t>
      </w:r>
      <w:r w:rsidRPr="006A2ADA">
        <w:rPr>
          <w:rFonts w:ascii="Verdana" w:hAnsi="Verdana" w:cs="Tahoma"/>
          <w:color w:val="000000"/>
          <w:sz w:val="17"/>
          <w:szCs w:val="17"/>
          <w:lang w:eastAsia="en-AU"/>
        </w:rPr>
        <w:t xml:space="preserve"> [2000] NSWCA 323 per Rolfe AJA at [84]. </w:t>
      </w:r>
      <w:r w:rsidRPr="006A2ADA">
        <w:rPr>
          <w:rStyle w:val="FootnoteReference"/>
          <w:rFonts w:ascii="Verdana" w:hAnsi="Verdana" w:cs="Tahoma"/>
          <w:color w:val="000000"/>
          <w:sz w:val="17"/>
          <w:szCs w:val="17"/>
          <w:lang w:eastAsia="en-AU"/>
        </w:rPr>
        <w:footnoteReference w:id="2"/>
      </w:r>
    </w:p>
    <w:p w:rsidR="008C0B12" w:rsidRPr="006A2ADA" w:rsidRDefault="008C0B12" w:rsidP="008C0B12">
      <w:pPr>
        <w:autoSpaceDE w:val="0"/>
        <w:autoSpaceDN w:val="0"/>
        <w:adjustRightInd w:val="0"/>
        <w:spacing w:line="360" w:lineRule="auto"/>
        <w:rPr>
          <w:rFonts w:ascii="Verdana" w:hAnsi="Verdana" w:cs="Tahoma"/>
          <w:b/>
          <w:sz w:val="17"/>
          <w:szCs w:val="17"/>
          <w:lang w:val="en-AU" w:eastAsia="en-AU"/>
        </w:rPr>
      </w:pPr>
      <w:r w:rsidRPr="006A2ADA">
        <w:rPr>
          <w:rFonts w:ascii="Verdana" w:hAnsi="Verdana" w:cs="Tahoma"/>
          <w:b/>
          <w:sz w:val="17"/>
          <w:szCs w:val="17"/>
          <w:lang w:val="en-AU" w:eastAsia="en-AU"/>
        </w:rPr>
        <w:t>7.</w:t>
      </w:r>
      <w:r w:rsidRPr="006A2ADA">
        <w:rPr>
          <w:rFonts w:ascii="Verdana" w:hAnsi="Verdana" w:cs="Tahoma"/>
          <w:b/>
          <w:sz w:val="17"/>
          <w:szCs w:val="17"/>
          <w:lang w:val="en-AU" w:eastAsia="en-AU"/>
        </w:rPr>
        <w:tab/>
        <w:t>Calderbank offers</w:t>
      </w:r>
    </w:p>
    <w:p w:rsidR="008C0B12" w:rsidRPr="006A2ADA" w:rsidRDefault="008C0B12" w:rsidP="008C0B12">
      <w:pPr>
        <w:autoSpaceDE w:val="0"/>
        <w:autoSpaceDN w:val="0"/>
        <w:adjustRightInd w:val="0"/>
        <w:spacing w:line="360" w:lineRule="auto"/>
        <w:rPr>
          <w:rFonts w:ascii="Verdana" w:hAnsi="Verdana" w:cs="Tahoma"/>
          <w:b/>
          <w:i/>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b/>
          <w:sz w:val="17"/>
          <w:szCs w:val="17"/>
          <w:lang w:val="en-AU" w:eastAsia="en-AU"/>
        </w:rPr>
        <w:t>7.1</w:t>
      </w:r>
      <w:r w:rsidRPr="006A2ADA">
        <w:rPr>
          <w:rFonts w:ascii="Verdana" w:hAnsi="Verdana" w:cs="Tahoma"/>
          <w:b/>
          <w:i/>
          <w:sz w:val="17"/>
          <w:szCs w:val="17"/>
          <w:lang w:val="en-AU" w:eastAsia="en-AU"/>
        </w:rPr>
        <w:tab/>
      </w:r>
      <w:r w:rsidRPr="006A2ADA">
        <w:rPr>
          <w:rFonts w:ascii="Verdana" w:hAnsi="Verdana" w:cs="Tahoma"/>
          <w:i/>
          <w:sz w:val="17"/>
          <w:szCs w:val="17"/>
          <w:lang w:val="en-AU" w:eastAsia="en-AU"/>
        </w:rPr>
        <w:t>Calderbank</w:t>
      </w:r>
      <w:r w:rsidRPr="006A2ADA">
        <w:rPr>
          <w:rFonts w:ascii="Verdana" w:hAnsi="Verdana" w:cs="Tahoma"/>
          <w:sz w:val="17"/>
          <w:szCs w:val="17"/>
          <w:lang w:val="en-AU" w:eastAsia="en-AU"/>
        </w:rPr>
        <w:t xml:space="preserve"> offers have been an accepted practice in </w:t>
      </w:r>
      <w:smartTag w:uri="urn:schemas-microsoft-com:office:smarttags" w:element="country-region">
        <w:smartTag w:uri="urn:schemas-microsoft-com:office:smarttags" w:element="place">
          <w:r w:rsidRPr="006A2ADA">
            <w:rPr>
              <w:rFonts w:ascii="Verdana" w:hAnsi="Verdana" w:cs="Tahoma"/>
              <w:sz w:val="17"/>
              <w:szCs w:val="17"/>
              <w:lang w:val="en-AU" w:eastAsia="en-AU"/>
            </w:rPr>
            <w:t>Australia</w:t>
          </w:r>
        </w:smartTag>
      </w:smartTag>
      <w:r w:rsidRPr="006A2ADA">
        <w:rPr>
          <w:rFonts w:ascii="Verdana" w:hAnsi="Verdana" w:cs="Tahoma"/>
          <w:sz w:val="17"/>
          <w:szCs w:val="17"/>
          <w:lang w:val="en-AU" w:eastAsia="en-AU"/>
        </w:rPr>
        <w:t xml:space="preserve"> for some time now and despite the provision for formal offers of compromise under the rules, they continue to offer a flexible means of pursuing settlement.</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autoSpaceDE w:val="0"/>
        <w:autoSpaceDN w:val="0"/>
        <w:adjustRightInd w:val="0"/>
        <w:spacing w:line="360" w:lineRule="auto"/>
        <w:rPr>
          <w:rFonts w:ascii="Verdana" w:hAnsi="Verdana" w:cs="Tahoma"/>
          <w:b/>
          <w:i/>
          <w:sz w:val="17"/>
          <w:szCs w:val="17"/>
          <w:lang w:val="en-AU" w:eastAsia="en-AU"/>
        </w:rPr>
      </w:pPr>
      <w:r w:rsidRPr="006A2ADA">
        <w:rPr>
          <w:rFonts w:ascii="Verdana" w:hAnsi="Verdana" w:cs="Tahoma"/>
          <w:b/>
          <w:sz w:val="17"/>
          <w:szCs w:val="17"/>
          <w:lang w:val="en-AU" w:eastAsia="en-AU"/>
        </w:rPr>
        <w:t>7.2</w:t>
      </w:r>
      <w:r w:rsidRPr="006A2ADA">
        <w:rPr>
          <w:rFonts w:ascii="Verdana" w:hAnsi="Verdana" w:cs="Tahoma"/>
          <w:b/>
          <w:sz w:val="17"/>
          <w:szCs w:val="17"/>
          <w:lang w:val="en-AU" w:eastAsia="en-AU"/>
        </w:rPr>
        <w:tab/>
        <w:t>The Form of a Calderbank offer</w:t>
      </w:r>
    </w:p>
    <w:p w:rsidR="008C0B12" w:rsidRPr="006A2ADA" w:rsidRDefault="008C0B12" w:rsidP="008C0B12">
      <w:pPr>
        <w:autoSpaceDE w:val="0"/>
        <w:autoSpaceDN w:val="0"/>
        <w:adjustRightInd w:val="0"/>
        <w:spacing w:line="360" w:lineRule="auto"/>
        <w:rPr>
          <w:rFonts w:ascii="Verdana" w:hAnsi="Verdana" w:cs="Tahoma"/>
          <w:b/>
          <w:i/>
          <w:sz w:val="17"/>
          <w:szCs w:val="17"/>
          <w:lang w:val="en-AU" w:eastAsia="en-AU"/>
        </w:rPr>
      </w:pPr>
    </w:p>
    <w:p w:rsidR="008C0B12" w:rsidRPr="006A2ADA" w:rsidRDefault="008C0B12" w:rsidP="008C0B12">
      <w:pPr>
        <w:autoSpaceDE w:val="0"/>
        <w:autoSpaceDN w:val="0"/>
        <w:adjustRightInd w:val="0"/>
        <w:spacing w:line="360" w:lineRule="auto"/>
        <w:ind w:firstLine="720"/>
        <w:rPr>
          <w:rFonts w:ascii="Verdana" w:hAnsi="Verdana" w:cs="Tahoma"/>
          <w:sz w:val="17"/>
          <w:szCs w:val="17"/>
          <w:lang w:val="en-AU" w:eastAsia="en-AU"/>
        </w:rPr>
      </w:pPr>
      <w:r w:rsidRPr="006A2ADA">
        <w:rPr>
          <w:rFonts w:ascii="Verdana" w:hAnsi="Verdana" w:cs="Tahoma"/>
          <w:sz w:val="17"/>
          <w:szCs w:val="17"/>
          <w:lang w:val="en-AU" w:eastAsia="en-AU"/>
        </w:rPr>
        <w:t>A</w:t>
      </w:r>
      <w:r w:rsidRPr="006A2ADA">
        <w:rPr>
          <w:rFonts w:ascii="Verdana" w:hAnsi="Verdana" w:cs="Tahoma"/>
          <w:i/>
          <w:sz w:val="17"/>
          <w:szCs w:val="17"/>
          <w:lang w:val="en-AU" w:eastAsia="en-AU"/>
        </w:rPr>
        <w:t xml:space="preserve"> Calderbank</w:t>
      </w:r>
      <w:r w:rsidRPr="006A2ADA">
        <w:rPr>
          <w:rFonts w:ascii="Verdana" w:hAnsi="Verdana" w:cs="Tahoma"/>
          <w:sz w:val="17"/>
          <w:szCs w:val="17"/>
          <w:lang w:val="en-AU" w:eastAsia="en-AU"/>
        </w:rPr>
        <w:t xml:space="preserve"> offer should:</w:t>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be marked ‘without prejudice save as to costs’;</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be clear, precise and certain in its terms;</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state clearly the time in which the offer must be accepted;</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 xml:space="preserve">make reference to the offer being one in accordance with the principles enunciated in the decision of </w:t>
      </w:r>
      <w:r w:rsidRPr="006A2ADA">
        <w:rPr>
          <w:rFonts w:ascii="Verdana" w:hAnsi="Verdana" w:cs="Tahoma"/>
          <w:i/>
          <w:sz w:val="17"/>
          <w:szCs w:val="17"/>
          <w:lang w:val="en-AU" w:eastAsia="en-AU"/>
        </w:rPr>
        <w:t>Calderbank v Calderbank</w:t>
      </w:r>
      <w:r w:rsidRPr="006A2ADA">
        <w:rPr>
          <w:rFonts w:ascii="Verdana" w:hAnsi="Verdana" w:cs="Tahoma"/>
          <w:sz w:val="17"/>
          <w:szCs w:val="17"/>
          <w:lang w:val="en-AU" w:eastAsia="en-AU"/>
        </w:rPr>
        <w:t>;</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make some provision for cost</w:t>
      </w:r>
      <w:r w:rsidR="00FC029D" w:rsidRPr="006A2ADA">
        <w:rPr>
          <w:rFonts w:ascii="Verdana" w:hAnsi="Verdana" w:cs="Tahoma"/>
          <w:sz w:val="17"/>
          <w:szCs w:val="17"/>
          <w:lang w:val="en-AU" w:eastAsia="en-AU"/>
        </w:rPr>
        <w:t>s separate from the principal</w:t>
      </w:r>
      <w:r w:rsidRPr="006A2ADA">
        <w:rPr>
          <w:rFonts w:ascii="Verdana" w:hAnsi="Verdana" w:cs="Tahoma"/>
          <w:sz w:val="17"/>
          <w:szCs w:val="17"/>
          <w:lang w:val="en-AU" w:eastAsia="en-AU"/>
        </w:rPr>
        <w:t xml:space="preserve"> offer;</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state clearly that the offeror reserves its right to tender the offer on an application for costs if the offer is rejected;</w:t>
      </w:r>
    </w:p>
    <w:p w:rsidR="008C0B12" w:rsidRPr="006A2ADA" w:rsidRDefault="008C0B12" w:rsidP="008C0B12">
      <w:pPr>
        <w:numPr>
          <w:ilvl w:val="0"/>
          <w:numId w:val="9"/>
        </w:numPr>
        <w:tabs>
          <w:tab w:val="clear" w:pos="720"/>
          <w:tab w:val="num" w:pos="1620"/>
        </w:tabs>
        <w:autoSpaceDE w:val="0"/>
        <w:autoSpaceDN w:val="0"/>
        <w:adjustRightInd w:val="0"/>
        <w:spacing w:line="360" w:lineRule="auto"/>
        <w:ind w:left="1620" w:hanging="900"/>
        <w:rPr>
          <w:rFonts w:ascii="Verdana" w:hAnsi="Verdana" w:cs="Tahoma"/>
          <w:sz w:val="17"/>
          <w:szCs w:val="17"/>
          <w:lang w:val="en-AU" w:eastAsia="en-AU"/>
        </w:rPr>
      </w:pPr>
      <w:r w:rsidRPr="006A2ADA">
        <w:rPr>
          <w:rFonts w:ascii="Verdana" w:hAnsi="Verdana" w:cs="Tahoma"/>
          <w:sz w:val="17"/>
          <w:szCs w:val="17"/>
          <w:lang w:val="en-AU" w:eastAsia="en-AU"/>
        </w:rPr>
        <w:t>state the costs advantage i.e. indemnity costs or party/party costs that the offeror has in mind to achieve.</w:t>
      </w:r>
    </w:p>
    <w:p w:rsidR="008C0B12" w:rsidRPr="006A2ADA" w:rsidRDefault="008C0B12" w:rsidP="008C0B12">
      <w:pPr>
        <w:tabs>
          <w:tab w:val="num" w:pos="1620"/>
        </w:tabs>
        <w:autoSpaceDE w:val="0"/>
        <w:autoSpaceDN w:val="0"/>
        <w:adjustRightInd w:val="0"/>
        <w:spacing w:line="360" w:lineRule="auto"/>
        <w:ind w:left="1620" w:hanging="900"/>
        <w:rPr>
          <w:rFonts w:ascii="Verdana" w:hAnsi="Verdana" w:cs="Tahoma"/>
          <w:sz w:val="17"/>
          <w:szCs w:val="17"/>
          <w:lang w:val="en-AU" w:eastAsia="en-AU"/>
        </w:rPr>
      </w:pPr>
    </w:p>
    <w:p w:rsidR="008C0B12" w:rsidRPr="006A2ADA" w:rsidRDefault="008C0B12" w:rsidP="008C0B12">
      <w:pPr>
        <w:tabs>
          <w:tab w:val="left" w:pos="720"/>
        </w:tabs>
        <w:autoSpaceDE w:val="0"/>
        <w:autoSpaceDN w:val="0"/>
        <w:adjustRightInd w:val="0"/>
        <w:spacing w:line="360" w:lineRule="auto"/>
        <w:ind w:left="720" w:hanging="720"/>
        <w:rPr>
          <w:rFonts w:ascii="Verdana" w:hAnsi="Verdana" w:cs="Tahoma"/>
          <w:sz w:val="17"/>
          <w:szCs w:val="17"/>
          <w:lang w:val="en-AU" w:eastAsia="en-AU"/>
        </w:rPr>
      </w:pPr>
      <w:r w:rsidRPr="006A2ADA">
        <w:rPr>
          <w:rFonts w:ascii="Verdana" w:hAnsi="Verdana" w:cs="Tahoma"/>
          <w:b/>
          <w:sz w:val="17"/>
          <w:szCs w:val="17"/>
          <w:lang w:val="en-AU" w:eastAsia="en-AU"/>
        </w:rPr>
        <w:t>7.3</w:t>
      </w:r>
      <w:r w:rsidRPr="006A2ADA">
        <w:rPr>
          <w:rFonts w:ascii="Verdana" w:hAnsi="Verdana" w:cs="Tahoma"/>
          <w:b/>
          <w:sz w:val="17"/>
          <w:szCs w:val="17"/>
          <w:lang w:val="en-AU" w:eastAsia="en-AU"/>
        </w:rPr>
        <w:tab/>
      </w:r>
      <w:r w:rsidRPr="006A2ADA">
        <w:rPr>
          <w:rFonts w:ascii="Verdana" w:hAnsi="Verdana" w:cs="Tahoma"/>
          <w:i/>
          <w:sz w:val="17"/>
          <w:szCs w:val="17"/>
          <w:lang w:val="en-AU" w:eastAsia="en-AU"/>
        </w:rPr>
        <w:t>Calderbank</w:t>
      </w:r>
      <w:r w:rsidRPr="006A2ADA">
        <w:rPr>
          <w:rFonts w:ascii="Verdana" w:hAnsi="Verdana" w:cs="Tahoma"/>
          <w:sz w:val="17"/>
          <w:szCs w:val="17"/>
          <w:lang w:val="en-AU" w:eastAsia="en-AU"/>
        </w:rPr>
        <w:t xml:space="preserve"> offers are offers which intrinsically do not comply with the </w:t>
      </w:r>
      <w:r w:rsidRPr="006A2ADA">
        <w:rPr>
          <w:rFonts w:ascii="Verdana" w:hAnsi="Verdana" w:cs="Tahoma"/>
          <w:i/>
          <w:sz w:val="17"/>
          <w:szCs w:val="17"/>
          <w:lang w:val="en-AU" w:eastAsia="en-AU"/>
        </w:rPr>
        <w:t>Uniform Civil Procedure Rules 2005 (NSW)</w:t>
      </w:r>
      <w:r w:rsidRPr="006A2ADA">
        <w:rPr>
          <w:rFonts w:ascii="Verdana" w:hAnsi="Verdana" w:cs="Tahoma"/>
          <w:sz w:val="17"/>
          <w:szCs w:val="17"/>
          <w:lang w:val="en-AU" w:eastAsia="en-AU"/>
        </w:rPr>
        <w:t xml:space="preserve"> and accordingly do not attract the same costs consequences as offers made in accordance with the rules.</w:t>
      </w:r>
      <w:r w:rsidRPr="006A2ADA">
        <w:rPr>
          <w:rStyle w:val="FootnoteReference"/>
          <w:rFonts w:ascii="Verdana" w:hAnsi="Verdana" w:cs="Tahoma"/>
          <w:sz w:val="17"/>
          <w:szCs w:val="17"/>
          <w:lang w:val="en-AU" w:eastAsia="en-AU"/>
        </w:rPr>
        <w:footnoteReference w:id="3"/>
      </w:r>
      <w:r w:rsidRPr="006A2ADA">
        <w:rPr>
          <w:rFonts w:ascii="Verdana" w:hAnsi="Verdana" w:cs="Tahoma"/>
          <w:sz w:val="17"/>
          <w:szCs w:val="17"/>
          <w:lang w:val="en-AU" w:eastAsia="en-AU"/>
        </w:rPr>
        <w:t xml:space="preserve">  While offers of compromise under the rules give rise to a prima facie entitlement to a costs order if the offer is not bettered, </w:t>
      </w:r>
      <w:r w:rsidRPr="006A2ADA">
        <w:rPr>
          <w:rFonts w:ascii="Verdana" w:hAnsi="Verdana" w:cs="Tahoma"/>
          <w:i/>
          <w:sz w:val="17"/>
          <w:szCs w:val="17"/>
          <w:lang w:val="en-AU" w:eastAsia="en-AU"/>
        </w:rPr>
        <w:t>Calderbank</w:t>
      </w:r>
      <w:r w:rsidRPr="006A2ADA">
        <w:rPr>
          <w:rFonts w:ascii="Verdana" w:hAnsi="Verdana" w:cs="Tahoma"/>
          <w:sz w:val="17"/>
          <w:szCs w:val="17"/>
          <w:lang w:val="en-AU" w:eastAsia="en-AU"/>
        </w:rPr>
        <w:t xml:space="preserve"> offers are a factor ‘and possibly even a weighty factor’, which may influence the court’s discretion as to costs.’</w:t>
      </w:r>
      <w:r w:rsidRPr="006A2ADA">
        <w:rPr>
          <w:rStyle w:val="FootnoteReference"/>
          <w:rFonts w:ascii="Verdana" w:hAnsi="Verdana" w:cs="Tahoma"/>
          <w:sz w:val="17"/>
          <w:szCs w:val="17"/>
          <w:lang w:val="en-AU" w:eastAsia="en-AU"/>
        </w:rPr>
        <w:footnoteReference w:id="4"/>
      </w:r>
    </w:p>
    <w:p w:rsidR="008C0B12" w:rsidRPr="006A2ADA" w:rsidRDefault="008C0B12" w:rsidP="008C0B12">
      <w:pPr>
        <w:autoSpaceDE w:val="0"/>
        <w:autoSpaceDN w:val="0"/>
        <w:adjustRightInd w:val="0"/>
        <w:spacing w:line="360" w:lineRule="auto"/>
        <w:rPr>
          <w:rFonts w:ascii="Verdana" w:hAnsi="Verdana" w:cs="Tahoma"/>
          <w:sz w:val="17"/>
          <w:szCs w:val="17"/>
          <w:lang w:val="en-AU" w:eastAsia="en-AU"/>
        </w:rPr>
      </w:pPr>
    </w:p>
    <w:p w:rsidR="008C0B12" w:rsidRPr="006A2ADA" w:rsidRDefault="00D37EF5" w:rsidP="008C0B12">
      <w:pPr>
        <w:autoSpaceDE w:val="0"/>
        <w:autoSpaceDN w:val="0"/>
        <w:adjustRightInd w:val="0"/>
        <w:spacing w:line="360" w:lineRule="auto"/>
        <w:ind w:firstLine="720"/>
        <w:rPr>
          <w:rFonts w:ascii="Verdana" w:hAnsi="Verdana" w:cs="Tahoma"/>
          <w:sz w:val="17"/>
          <w:szCs w:val="17"/>
          <w:u w:val="single"/>
          <w:lang w:val="en-AU" w:eastAsia="en-AU"/>
        </w:rPr>
      </w:pPr>
      <w:r w:rsidRPr="006A2ADA">
        <w:rPr>
          <w:rFonts w:ascii="Verdana" w:hAnsi="Verdana" w:cs="Tahoma"/>
          <w:sz w:val="17"/>
          <w:szCs w:val="17"/>
          <w:u w:val="single"/>
          <w:lang w:val="en-AU" w:eastAsia="en-AU"/>
        </w:rPr>
        <w:t>The u</w:t>
      </w:r>
      <w:r w:rsidR="008C0B12" w:rsidRPr="006A2ADA">
        <w:rPr>
          <w:rFonts w:ascii="Verdana" w:hAnsi="Verdana" w:cs="Tahoma"/>
          <w:sz w:val="17"/>
          <w:szCs w:val="17"/>
          <w:u w:val="single"/>
          <w:lang w:val="en-AU" w:eastAsia="en-AU"/>
        </w:rPr>
        <w:t>nreason</w:t>
      </w:r>
      <w:r w:rsidRPr="006A2ADA">
        <w:rPr>
          <w:rFonts w:ascii="Verdana" w:hAnsi="Verdana" w:cs="Tahoma"/>
          <w:sz w:val="17"/>
          <w:szCs w:val="17"/>
          <w:u w:val="single"/>
          <w:lang w:val="en-AU" w:eastAsia="en-AU"/>
        </w:rPr>
        <w:t>able rejection of a Calderbank o</w:t>
      </w:r>
      <w:r w:rsidR="008C0B12" w:rsidRPr="006A2ADA">
        <w:rPr>
          <w:rFonts w:ascii="Verdana" w:hAnsi="Verdana" w:cs="Tahoma"/>
          <w:sz w:val="17"/>
          <w:szCs w:val="17"/>
          <w:u w:val="single"/>
          <w:lang w:val="en-AU" w:eastAsia="en-AU"/>
        </w:rPr>
        <w:t>ffer</w:t>
      </w:r>
    </w:p>
    <w:p w:rsidR="008C0B12" w:rsidRPr="006A2ADA" w:rsidRDefault="008C0B12" w:rsidP="008C0B12">
      <w:pPr>
        <w:autoSpaceDE w:val="0"/>
        <w:autoSpaceDN w:val="0"/>
        <w:adjustRightInd w:val="0"/>
        <w:spacing w:line="360" w:lineRule="auto"/>
        <w:rPr>
          <w:rFonts w:ascii="Verdana" w:hAnsi="Verdana" w:cs="Tahoma"/>
          <w:b/>
          <w:i/>
          <w:sz w:val="17"/>
          <w:szCs w:val="17"/>
          <w:lang w:val="en-AU" w:eastAsia="en-AU"/>
        </w:rPr>
      </w:pPr>
    </w:p>
    <w:p w:rsidR="008C0B12" w:rsidRPr="006A2ADA" w:rsidRDefault="008C0B12" w:rsidP="008C0B12">
      <w:pPr>
        <w:numPr>
          <w:ilvl w:val="1"/>
          <w:numId w:val="9"/>
        </w:numPr>
        <w:tabs>
          <w:tab w:val="clear" w:pos="1080"/>
          <w:tab w:val="left" w:pos="720"/>
        </w:tabs>
        <w:autoSpaceDE w:val="0"/>
        <w:autoSpaceDN w:val="0"/>
        <w:adjustRightInd w:val="0"/>
        <w:spacing w:line="360" w:lineRule="auto"/>
        <w:ind w:left="720"/>
        <w:rPr>
          <w:rFonts w:ascii="Verdana" w:hAnsi="Verdana" w:cs="Tahoma"/>
          <w:sz w:val="17"/>
          <w:szCs w:val="17"/>
          <w:lang w:val="en-AU" w:eastAsia="en-AU"/>
        </w:rPr>
      </w:pPr>
      <w:r w:rsidRPr="006A2ADA">
        <w:rPr>
          <w:rFonts w:ascii="Verdana" w:hAnsi="Verdana" w:cs="Tahoma"/>
          <w:sz w:val="17"/>
          <w:szCs w:val="17"/>
          <w:lang w:val="en-AU" w:eastAsia="en-AU"/>
        </w:rPr>
        <w:lastRenderedPageBreak/>
        <w:t xml:space="preserve">The failure of an offeree to accept a </w:t>
      </w:r>
      <w:r w:rsidRPr="006A2ADA">
        <w:rPr>
          <w:rFonts w:ascii="Verdana" w:hAnsi="Verdana" w:cs="Tahoma"/>
          <w:i/>
          <w:sz w:val="17"/>
          <w:szCs w:val="17"/>
          <w:lang w:val="en-AU" w:eastAsia="en-AU"/>
        </w:rPr>
        <w:t>Calderbank</w:t>
      </w:r>
      <w:r w:rsidRPr="006A2ADA">
        <w:rPr>
          <w:rFonts w:ascii="Verdana" w:hAnsi="Verdana" w:cs="Tahoma"/>
          <w:sz w:val="17"/>
          <w:szCs w:val="17"/>
          <w:lang w:val="en-AU" w:eastAsia="en-AU"/>
        </w:rPr>
        <w:t xml:space="preserve"> offer which was not bettered on judgment will not lead to a presumption that the offer was unreasonably rejected.</w:t>
      </w:r>
      <w:r w:rsidRPr="006A2ADA">
        <w:rPr>
          <w:rStyle w:val="FootnoteReference"/>
          <w:rFonts w:ascii="Verdana" w:hAnsi="Verdana" w:cs="Tahoma"/>
          <w:sz w:val="17"/>
          <w:szCs w:val="17"/>
          <w:lang w:val="en-AU" w:eastAsia="en-AU"/>
        </w:rPr>
        <w:footnoteReference w:id="5"/>
      </w:r>
      <w:r w:rsidRPr="006A2ADA">
        <w:rPr>
          <w:rFonts w:ascii="Verdana" w:hAnsi="Verdana" w:cs="Tahoma"/>
          <w:sz w:val="17"/>
          <w:szCs w:val="17"/>
          <w:lang w:val="en-AU" w:eastAsia="en-AU"/>
        </w:rPr>
        <w:t xml:space="preserve"> However, in these circumstances it does provide a basis upon which the offeror can seek a costs order in its favour from the date of the offer.</w:t>
      </w:r>
    </w:p>
    <w:p w:rsidR="008C0B12" w:rsidRPr="006A2ADA" w:rsidRDefault="008C0B12" w:rsidP="008C0B12">
      <w:pPr>
        <w:tabs>
          <w:tab w:val="left" w:pos="720"/>
        </w:tabs>
        <w:autoSpaceDE w:val="0"/>
        <w:autoSpaceDN w:val="0"/>
        <w:adjustRightInd w:val="0"/>
        <w:spacing w:line="360" w:lineRule="auto"/>
        <w:rPr>
          <w:rFonts w:ascii="Verdana" w:hAnsi="Verdana" w:cs="Tahoma"/>
          <w:sz w:val="17"/>
          <w:szCs w:val="17"/>
          <w:lang w:val="en-AU" w:eastAsia="en-AU"/>
        </w:rPr>
      </w:pPr>
    </w:p>
    <w:p w:rsidR="008C0B12" w:rsidRPr="006A2ADA" w:rsidRDefault="008C0B12" w:rsidP="008C0B12">
      <w:pPr>
        <w:numPr>
          <w:ilvl w:val="1"/>
          <w:numId w:val="9"/>
        </w:numPr>
        <w:tabs>
          <w:tab w:val="clear" w:pos="1080"/>
          <w:tab w:val="left" w:pos="720"/>
        </w:tabs>
        <w:autoSpaceDE w:val="0"/>
        <w:autoSpaceDN w:val="0"/>
        <w:adjustRightInd w:val="0"/>
        <w:spacing w:line="360" w:lineRule="auto"/>
        <w:ind w:left="720"/>
        <w:rPr>
          <w:rFonts w:ascii="Verdana" w:hAnsi="Verdana" w:cs="Tahoma"/>
          <w:sz w:val="17"/>
          <w:szCs w:val="17"/>
          <w:lang w:val="en-AU" w:eastAsia="en-AU"/>
        </w:rPr>
      </w:pPr>
      <w:r w:rsidRPr="006A2ADA">
        <w:rPr>
          <w:rFonts w:ascii="Verdana" w:hAnsi="Verdana" w:cs="Tahoma"/>
          <w:i/>
          <w:sz w:val="17"/>
          <w:szCs w:val="17"/>
          <w:lang w:val="en-AU" w:eastAsia="en-AU"/>
        </w:rPr>
        <w:t>Calderbank</w:t>
      </w:r>
      <w:r w:rsidRPr="006A2ADA">
        <w:rPr>
          <w:rFonts w:ascii="Verdana" w:hAnsi="Verdana" w:cs="Tahoma"/>
          <w:sz w:val="17"/>
          <w:szCs w:val="17"/>
          <w:lang w:val="en-AU" w:eastAsia="en-AU"/>
        </w:rPr>
        <w:t xml:space="preserve"> offers remain an important tool in promoting litigious compromise.  They present a flexible alternative to the more formal procedure under the rules, particularly with respect to the making of an “inclusive of costs” offer of settlement.</w:t>
      </w:r>
    </w:p>
    <w:p w:rsidR="008C0B12" w:rsidRPr="006A2ADA" w:rsidRDefault="008C0B12" w:rsidP="008C0B12">
      <w:pPr>
        <w:rPr>
          <w:rFonts w:ascii="Verdana" w:hAnsi="Verdana"/>
          <w:sz w:val="17"/>
          <w:szCs w:val="17"/>
          <w:lang w:val="en-AU"/>
        </w:rPr>
      </w:pPr>
    </w:p>
    <w:p w:rsidR="00B2408E" w:rsidRPr="006A2ADA" w:rsidRDefault="00510935" w:rsidP="008C0B12">
      <w:pPr>
        <w:pStyle w:val="headmatter"/>
        <w:tabs>
          <w:tab w:val="clear" w:pos="5103"/>
          <w:tab w:val="center" w:pos="4140"/>
          <w:tab w:val="left" w:pos="6120"/>
          <w:tab w:val="right" w:pos="8280"/>
        </w:tabs>
        <w:rPr>
          <w:rFonts w:ascii="Verdana" w:hAnsi="Verdana"/>
          <w:sz w:val="17"/>
          <w:szCs w:val="17"/>
        </w:rPr>
      </w:pPr>
      <w:r w:rsidRPr="006A2ADA">
        <w:rPr>
          <w:rFonts w:ascii="Verdana" w:hAnsi="Verdana"/>
          <w:sz w:val="17"/>
          <w:szCs w:val="17"/>
        </w:rPr>
        <w:br/>
      </w:r>
    </w:p>
    <w:p w:rsidR="00510935" w:rsidRPr="006A2ADA" w:rsidRDefault="006A2ADA" w:rsidP="008C0B12">
      <w:pPr>
        <w:pStyle w:val="headmatter"/>
        <w:tabs>
          <w:tab w:val="clear" w:pos="5103"/>
          <w:tab w:val="center" w:pos="4140"/>
          <w:tab w:val="left" w:pos="6120"/>
          <w:tab w:val="right" w:pos="8280"/>
        </w:tabs>
        <w:rPr>
          <w:rFonts w:ascii="Verdana" w:hAnsi="Verdana"/>
          <w:b/>
          <w:sz w:val="17"/>
          <w:szCs w:val="17"/>
        </w:rPr>
      </w:pPr>
      <w:r>
        <w:rPr>
          <w:rFonts w:ascii="Verdana" w:hAnsi="Verdana"/>
          <w:b/>
          <w:sz w:val="17"/>
          <w:szCs w:val="17"/>
        </w:rPr>
        <w:t>Anna Napoli</w:t>
      </w:r>
    </w:p>
    <w:p w:rsidR="00510935" w:rsidRPr="006A2ADA" w:rsidRDefault="00510935" w:rsidP="008C0B12">
      <w:pPr>
        <w:pStyle w:val="headmatter"/>
        <w:tabs>
          <w:tab w:val="clear" w:pos="5103"/>
          <w:tab w:val="center" w:pos="4140"/>
          <w:tab w:val="left" w:pos="6120"/>
          <w:tab w:val="right" w:pos="8280"/>
        </w:tabs>
        <w:rPr>
          <w:rFonts w:ascii="Verdana" w:hAnsi="Verdana"/>
          <w:b/>
          <w:sz w:val="17"/>
          <w:szCs w:val="17"/>
        </w:rPr>
      </w:pPr>
      <w:smartTag w:uri="urn:schemas-microsoft-com:office:smarttags" w:element="date">
        <w:smartTagPr>
          <w:attr w:name="Year" w:val="2009"/>
          <w:attr w:name="Day" w:val="26"/>
          <w:attr w:name="Month" w:val="3"/>
        </w:smartTagPr>
        <w:r w:rsidRPr="006A2ADA">
          <w:rPr>
            <w:rFonts w:ascii="Verdana" w:hAnsi="Verdana"/>
            <w:b/>
            <w:sz w:val="17"/>
            <w:szCs w:val="17"/>
          </w:rPr>
          <w:t>26 March 2009</w:t>
        </w:r>
      </w:smartTag>
      <w:r w:rsidRPr="006A2ADA">
        <w:rPr>
          <w:rFonts w:ascii="Verdana" w:hAnsi="Verdana"/>
          <w:b/>
          <w:sz w:val="17"/>
          <w:szCs w:val="17"/>
        </w:rPr>
        <w:br/>
      </w:r>
    </w:p>
    <w:sectPr w:rsidR="00510935" w:rsidRPr="006A2ADA" w:rsidSect="00E83977">
      <w:headerReference w:type="even" r:id="rId11"/>
      <w:headerReference w:type="default" r:id="rId12"/>
      <w:footerReference w:type="default" r:id="rId13"/>
      <w:footerReference w:type="first" r:id="rId14"/>
      <w:pgSz w:w="11907" w:h="16840" w:code="9"/>
      <w:pgMar w:top="1134" w:right="1418" w:bottom="1134" w:left="158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E4" w:rsidRDefault="00192EE4">
      <w:r>
        <w:separator/>
      </w:r>
    </w:p>
  </w:endnote>
  <w:endnote w:type="continuationSeparator" w:id="1">
    <w:p w:rsidR="00192EE4" w:rsidRDefault="00192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B" w:rsidRDefault="00FC782B" w:rsidP="001E7D2C">
    <w:pPr>
      <w:pStyle w:val="Footer"/>
      <w:jc w:val="right"/>
      <w:rPr>
        <w:b/>
        <w:sz w:val="16"/>
        <w:szCs w:val="16"/>
      </w:rPr>
    </w:pPr>
    <w:r w:rsidRPr="001E7D2C">
      <w:rPr>
        <w:b/>
        <w:sz w:val="16"/>
        <w:szCs w:val="16"/>
      </w:rPr>
      <w:t>Thompson Cooper Lawyers Pty Ltd</w:t>
    </w:r>
  </w:p>
  <w:p w:rsidR="00FC782B" w:rsidRPr="00FC782B" w:rsidRDefault="00FC782B" w:rsidP="00FC782B">
    <w:pPr>
      <w:pStyle w:val="Footer"/>
      <w:rPr>
        <w:sz w:val="14"/>
      </w:rPr>
    </w:pPr>
    <w:bookmarkStart w:id="0" w:name="PRIMARYFOOTERSPECBEGIN1"/>
    <w:bookmarkEnd w:id="0"/>
    <w:r w:rsidRPr="00FC782B">
      <w:rPr>
        <w:sz w:val="14"/>
      </w:rPr>
      <w:t>P_20268_636.DOC</w:t>
    </w:r>
    <w:bookmarkStart w:id="1" w:name="PRIMARYFOOTERSPECEND1"/>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B" w:rsidRPr="00FC782B" w:rsidRDefault="00FC782B" w:rsidP="00FC782B">
    <w:pPr>
      <w:pStyle w:val="Footer"/>
      <w:rPr>
        <w:sz w:val="14"/>
        <w:szCs w:val="16"/>
      </w:rPr>
    </w:pPr>
    <w:bookmarkStart w:id="2" w:name="FIRSTPAGEFOOTERSPECBEGIN1"/>
    <w:bookmarkEnd w:id="2"/>
    <w:r w:rsidRPr="00FC782B">
      <w:rPr>
        <w:sz w:val="14"/>
        <w:szCs w:val="16"/>
      </w:rPr>
      <w:t>P_20268_636.DOC</w:t>
    </w:r>
    <w:bookmarkStart w:id="3" w:name="FIRSTPAGEFOOTERSPECEND1"/>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E4" w:rsidRDefault="00192EE4">
      <w:r>
        <w:separator/>
      </w:r>
    </w:p>
  </w:footnote>
  <w:footnote w:type="continuationSeparator" w:id="1">
    <w:p w:rsidR="00192EE4" w:rsidRDefault="00192EE4">
      <w:r>
        <w:continuationSeparator/>
      </w:r>
    </w:p>
  </w:footnote>
  <w:footnote w:id="2">
    <w:p w:rsidR="00FC782B" w:rsidRPr="00954272" w:rsidRDefault="00FC782B" w:rsidP="008C0B12">
      <w:pPr>
        <w:pStyle w:val="date1"/>
        <w:jc w:val="left"/>
        <w:rPr>
          <w:rFonts w:ascii="Verdana" w:hAnsi="Verdana"/>
          <w:sz w:val="17"/>
          <w:szCs w:val="17"/>
        </w:rPr>
      </w:pPr>
      <w:r>
        <w:rPr>
          <w:rStyle w:val="FootnoteReference"/>
        </w:rPr>
        <w:footnoteRef/>
      </w:r>
      <w:r>
        <w:t xml:space="preserve"> Judicial Commission of NSW, </w:t>
      </w:r>
      <w:r w:rsidRPr="00954272">
        <w:rPr>
          <w:i/>
        </w:rPr>
        <w:t>Civil Trials Bench Book Procedure Generally</w:t>
      </w:r>
      <w:r>
        <w:rPr>
          <w:i/>
        </w:rPr>
        <w:t>,</w:t>
      </w:r>
      <w:r w:rsidRPr="00954272">
        <w:rPr>
          <w:rFonts w:ascii="Verdana" w:hAnsi="Verdana"/>
          <w:sz w:val="17"/>
          <w:szCs w:val="17"/>
        </w:rPr>
        <w:t xml:space="preserve"> </w:t>
      </w:r>
      <w:r>
        <w:rPr>
          <w:rFonts w:ascii="Verdana" w:hAnsi="Verdana"/>
          <w:sz w:val="17"/>
          <w:szCs w:val="17"/>
        </w:rPr>
        <w:t xml:space="preserve">”Calderbank letters and offers of Compromise”, at: </w:t>
      </w:r>
      <w:hyperlink r:id="rId1" w:history="1">
        <w:r w:rsidRPr="007E6B8A">
          <w:rPr>
            <w:rStyle w:val="Hyperlink"/>
            <w:rFonts w:ascii="Verdana" w:hAnsi="Verdana"/>
            <w:sz w:val="17"/>
            <w:szCs w:val="17"/>
          </w:rPr>
          <w:t>http://www.judcom.nsw.gov.au/benchbks/civil/calderbank_letters.html</w:t>
        </w:r>
      </w:hyperlink>
      <w:r>
        <w:rPr>
          <w:rFonts w:ascii="Verdana" w:hAnsi="Verdana"/>
          <w:sz w:val="17"/>
          <w:szCs w:val="17"/>
        </w:rPr>
        <w:t xml:space="preserve"> </w:t>
      </w:r>
    </w:p>
    <w:p w:rsidR="00FC782B" w:rsidRDefault="00FC782B" w:rsidP="008C0B12">
      <w:pPr>
        <w:pStyle w:val="FootnoteText"/>
      </w:pPr>
      <w:r>
        <w:t>updated December 2008.</w:t>
      </w:r>
    </w:p>
  </w:footnote>
  <w:footnote w:id="3">
    <w:p w:rsidR="00FC782B" w:rsidRDefault="00FC782B" w:rsidP="008C0B12">
      <w:pPr>
        <w:pStyle w:val="FootnoteText"/>
      </w:pPr>
      <w:r>
        <w:rPr>
          <w:rStyle w:val="FootnoteReference"/>
        </w:rPr>
        <w:footnoteRef/>
      </w:r>
      <w:r>
        <w:t xml:space="preserve"> </w:t>
      </w:r>
      <w:r w:rsidRPr="008533BB">
        <w:rPr>
          <w:i/>
        </w:rPr>
        <w:t>Jones v Bradley</w:t>
      </w:r>
      <w:r>
        <w:t xml:space="preserve"> (No2) [2003] NSWCA 258 at [5].</w:t>
      </w:r>
    </w:p>
  </w:footnote>
  <w:footnote w:id="4">
    <w:p w:rsidR="00FC782B" w:rsidRDefault="00FC782B" w:rsidP="008C0B12">
      <w:pPr>
        <w:pStyle w:val="FootnoteText"/>
      </w:pPr>
      <w:r>
        <w:rPr>
          <w:rStyle w:val="FootnoteReference"/>
        </w:rPr>
        <w:footnoteRef/>
      </w:r>
      <w:r>
        <w:t xml:space="preserve"> Similar issues arise in relation to appeals.  Where a Calderbank offer is made before a trial and rejected, the offer remains relevant for the purposes of an application for costs in the Court of Appeal.  However a failure to renew the offer between trial and appeal may militate against an award for indemnity costs: see </w:t>
      </w:r>
      <w:r w:rsidRPr="008533BB">
        <w:rPr>
          <w:i/>
        </w:rPr>
        <w:t xml:space="preserve">Brymount Pty Limited t/as Watson </w:t>
      </w:r>
      <w:smartTag w:uri="urn:schemas-microsoft-com:office:smarttags" w:element="City">
        <w:smartTag w:uri="urn:schemas-microsoft-com:office:smarttags" w:element="place">
          <w:r w:rsidRPr="008533BB">
            <w:rPr>
              <w:i/>
            </w:rPr>
            <w:t>Toyota</w:t>
          </w:r>
        </w:smartTag>
      </w:smartTag>
      <w:r w:rsidRPr="008533BB">
        <w:rPr>
          <w:i/>
        </w:rPr>
        <w:t xml:space="preserve"> v Cummins (No2)</w:t>
      </w:r>
      <w:r>
        <w:t xml:space="preserve"> [2005] NSWCA 69.</w:t>
      </w:r>
    </w:p>
  </w:footnote>
  <w:footnote w:id="5">
    <w:p w:rsidR="00FC782B" w:rsidRDefault="00FC782B" w:rsidP="008C0B12">
      <w:pPr>
        <w:pStyle w:val="FootnoteText"/>
      </w:pPr>
      <w:r>
        <w:rPr>
          <w:rStyle w:val="FootnoteReference"/>
        </w:rPr>
        <w:footnoteRef/>
      </w:r>
      <w:r>
        <w:t xml:space="preserve"> </w:t>
      </w:r>
      <w:r w:rsidRPr="008533BB">
        <w:rPr>
          <w:i/>
        </w:rPr>
        <w:t xml:space="preserve">MGICA (1992) Pty Ltd v Kenny &amp; Good Pty Ltd </w:t>
      </w:r>
      <w:r>
        <w:t xml:space="preserve">(1996) 70 FCR 236 at 239 per Lingren J.  For example a Calderbank letter containing an offer of only $20000 better than the plaintiff’s award at trial was seen as constituting an insufficient basis on which to disturb a costs order in favour of a successful plaintiff  in </w:t>
      </w:r>
      <w:r w:rsidRPr="008533BB">
        <w:rPr>
          <w:i/>
        </w:rPr>
        <w:t>Humphries v TWT Ltd</w:t>
      </w:r>
      <w:r>
        <w:t xml:space="preserve"> (1993) 113 </w:t>
      </w:r>
      <w:smartTag w:uri="urn:schemas-microsoft-com:office:smarttags" w:element="stockticker">
        <w:r>
          <w:t>FLR</w:t>
        </w:r>
      </w:smartTag>
      <w:r>
        <w:t xml:space="preserve"> 422.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B" w:rsidRDefault="00FC78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782B" w:rsidRDefault="00FC7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B" w:rsidRDefault="00FC78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92C">
      <w:rPr>
        <w:rStyle w:val="PageNumber"/>
        <w:noProof/>
      </w:rPr>
      <w:t>9</w:t>
    </w:r>
    <w:r>
      <w:rPr>
        <w:rStyle w:val="PageNumber"/>
      </w:rPr>
      <w:fldChar w:fldCharType="end"/>
    </w:r>
  </w:p>
  <w:p w:rsidR="00FC782B" w:rsidRDefault="00FC782B">
    <w:pPr>
      <w:pStyle w:val="Header"/>
    </w:pPr>
  </w:p>
  <w:p w:rsidR="00FC782B" w:rsidRDefault="00FC7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7DC"/>
    <w:multiLevelType w:val="multilevel"/>
    <w:tmpl w:val="278EEF2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
    <w:nsid w:val="0C490965"/>
    <w:multiLevelType w:val="multilevel"/>
    <w:tmpl w:val="4C8AAFD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141520A8"/>
    <w:multiLevelType w:val="multilevel"/>
    <w:tmpl w:val="A5262A0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2267D"/>
    <w:multiLevelType w:val="hybridMultilevel"/>
    <w:tmpl w:val="15E688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81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9979F1"/>
    <w:multiLevelType w:val="hybridMultilevel"/>
    <w:tmpl w:val="0B1ED6AA"/>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6">
    <w:nsid w:val="2CC83764"/>
    <w:multiLevelType w:val="hybridMultilevel"/>
    <w:tmpl w:val="7E3C486C"/>
    <w:lvl w:ilvl="0" w:tplc="E8D864CE">
      <w:start w:val="1"/>
      <w:numFmt w:val="decimal"/>
      <w:lvlText w:val="%1."/>
      <w:lvlJc w:val="left"/>
      <w:pPr>
        <w:tabs>
          <w:tab w:val="num" w:pos="1080"/>
        </w:tabs>
        <w:ind w:left="1080" w:hanging="720"/>
      </w:pPr>
      <w:rPr>
        <w:rFonts w:hint="default"/>
      </w:rPr>
    </w:lvl>
    <w:lvl w:ilvl="1" w:tplc="C36A5C58">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B912B3"/>
    <w:multiLevelType w:val="hybridMultilevel"/>
    <w:tmpl w:val="BA56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77973"/>
    <w:multiLevelType w:val="multilevel"/>
    <w:tmpl w:val="E2A469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40C04112"/>
    <w:multiLevelType w:val="multilevel"/>
    <w:tmpl w:val="0A3E6D2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44B22153"/>
    <w:multiLevelType w:val="multilevel"/>
    <w:tmpl w:val="24FC355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44B511AD"/>
    <w:multiLevelType w:val="multilevel"/>
    <w:tmpl w:val="71CE58C2"/>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45A049C7"/>
    <w:multiLevelType w:val="hybridMultilevel"/>
    <w:tmpl w:val="C35060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FC2280"/>
    <w:multiLevelType w:val="multilevel"/>
    <w:tmpl w:val="6A14E27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5D5B42E0"/>
    <w:multiLevelType w:val="multilevel"/>
    <w:tmpl w:val="2C72554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582180"/>
    <w:multiLevelType w:val="multilevel"/>
    <w:tmpl w:val="A416510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6DAA5FCB"/>
    <w:multiLevelType w:val="multilevel"/>
    <w:tmpl w:val="52643EB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4"/>
  </w:num>
  <w:num w:numId="2">
    <w:abstractNumId w:val="7"/>
  </w:num>
  <w:num w:numId="3">
    <w:abstractNumId w:val="3"/>
  </w:num>
  <w:num w:numId="4">
    <w:abstractNumId w:val="6"/>
  </w:num>
  <w:num w:numId="5">
    <w:abstractNumId w:val="14"/>
  </w:num>
  <w:num w:numId="6">
    <w:abstractNumId w:val="12"/>
  </w:num>
  <w:num w:numId="7">
    <w:abstractNumId w:val="5"/>
  </w:num>
  <w:num w:numId="8">
    <w:abstractNumId w:val="2"/>
  </w:num>
  <w:num w:numId="9">
    <w:abstractNumId w:val="0"/>
  </w:num>
  <w:num w:numId="10">
    <w:abstractNumId w:val="8"/>
  </w:num>
  <w:num w:numId="11">
    <w:abstractNumId w:val="10"/>
  </w:num>
  <w:num w:numId="12">
    <w:abstractNumId w:val="9"/>
  </w:num>
  <w:num w:numId="13">
    <w:abstractNumId w:val="16"/>
  </w:num>
  <w:num w:numId="14">
    <w:abstractNumId w:val="11"/>
  </w:num>
  <w:num w:numId="15">
    <w:abstractNumId w:val="13"/>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F84F38"/>
    <w:rsid w:val="00024081"/>
    <w:rsid w:val="00046C44"/>
    <w:rsid w:val="00060CD9"/>
    <w:rsid w:val="000B550C"/>
    <w:rsid w:val="000D4677"/>
    <w:rsid w:val="000D70AC"/>
    <w:rsid w:val="00100EB2"/>
    <w:rsid w:val="0010139E"/>
    <w:rsid w:val="001062DA"/>
    <w:rsid w:val="00132318"/>
    <w:rsid w:val="0014692C"/>
    <w:rsid w:val="00147792"/>
    <w:rsid w:val="00166551"/>
    <w:rsid w:val="00185AF6"/>
    <w:rsid w:val="00192EE4"/>
    <w:rsid w:val="00195982"/>
    <w:rsid w:val="001A0E45"/>
    <w:rsid w:val="001B6938"/>
    <w:rsid w:val="001E7D2C"/>
    <w:rsid w:val="002123CE"/>
    <w:rsid w:val="0021744E"/>
    <w:rsid w:val="00230DDC"/>
    <w:rsid w:val="0025546C"/>
    <w:rsid w:val="002A4C4B"/>
    <w:rsid w:val="002E279E"/>
    <w:rsid w:val="00325976"/>
    <w:rsid w:val="0033447D"/>
    <w:rsid w:val="00345C93"/>
    <w:rsid w:val="00356E0D"/>
    <w:rsid w:val="003675C4"/>
    <w:rsid w:val="00370FFA"/>
    <w:rsid w:val="00377B62"/>
    <w:rsid w:val="003A793F"/>
    <w:rsid w:val="003B3E7A"/>
    <w:rsid w:val="003B57F7"/>
    <w:rsid w:val="004268DA"/>
    <w:rsid w:val="00430AAC"/>
    <w:rsid w:val="00441827"/>
    <w:rsid w:val="004605F2"/>
    <w:rsid w:val="004630CD"/>
    <w:rsid w:val="004945EB"/>
    <w:rsid w:val="004C0B7C"/>
    <w:rsid w:val="004E74E7"/>
    <w:rsid w:val="004F3A90"/>
    <w:rsid w:val="004F7236"/>
    <w:rsid w:val="00506F9D"/>
    <w:rsid w:val="00510935"/>
    <w:rsid w:val="00542519"/>
    <w:rsid w:val="00545312"/>
    <w:rsid w:val="0057259E"/>
    <w:rsid w:val="00580F92"/>
    <w:rsid w:val="00593B98"/>
    <w:rsid w:val="005A376B"/>
    <w:rsid w:val="005B47E2"/>
    <w:rsid w:val="005C3447"/>
    <w:rsid w:val="005D0211"/>
    <w:rsid w:val="005D382D"/>
    <w:rsid w:val="005E5000"/>
    <w:rsid w:val="005E5905"/>
    <w:rsid w:val="00657BA1"/>
    <w:rsid w:val="00685CED"/>
    <w:rsid w:val="00693782"/>
    <w:rsid w:val="006958F6"/>
    <w:rsid w:val="006A2ADA"/>
    <w:rsid w:val="006A3723"/>
    <w:rsid w:val="006C164A"/>
    <w:rsid w:val="006C17A0"/>
    <w:rsid w:val="006D1466"/>
    <w:rsid w:val="007126ED"/>
    <w:rsid w:val="0071437C"/>
    <w:rsid w:val="00725F8C"/>
    <w:rsid w:val="00730AAA"/>
    <w:rsid w:val="00734C2E"/>
    <w:rsid w:val="00787BA3"/>
    <w:rsid w:val="007911A2"/>
    <w:rsid w:val="00797CA2"/>
    <w:rsid w:val="007A6C2B"/>
    <w:rsid w:val="008032F7"/>
    <w:rsid w:val="00823AC8"/>
    <w:rsid w:val="00851960"/>
    <w:rsid w:val="00867A19"/>
    <w:rsid w:val="0088440A"/>
    <w:rsid w:val="00895055"/>
    <w:rsid w:val="008C0B12"/>
    <w:rsid w:val="008C1A2A"/>
    <w:rsid w:val="008C50DE"/>
    <w:rsid w:val="009123A0"/>
    <w:rsid w:val="00917203"/>
    <w:rsid w:val="00923623"/>
    <w:rsid w:val="0093413A"/>
    <w:rsid w:val="00961AE3"/>
    <w:rsid w:val="00970061"/>
    <w:rsid w:val="00981BE0"/>
    <w:rsid w:val="00990447"/>
    <w:rsid w:val="009D2835"/>
    <w:rsid w:val="009F3CEF"/>
    <w:rsid w:val="00A34DB1"/>
    <w:rsid w:val="00A368A4"/>
    <w:rsid w:val="00A54C32"/>
    <w:rsid w:val="00AC1B78"/>
    <w:rsid w:val="00B04A0A"/>
    <w:rsid w:val="00B05C78"/>
    <w:rsid w:val="00B157BC"/>
    <w:rsid w:val="00B2408E"/>
    <w:rsid w:val="00B255C3"/>
    <w:rsid w:val="00B647BA"/>
    <w:rsid w:val="00BB5372"/>
    <w:rsid w:val="00BC0F1F"/>
    <w:rsid w:val="00BC5818"/>
    <w:rsid w:val="00BE2DE3"/>
    <w:rsid w:val="00C262E5"/>
    <w:rsid w:val="00C32411"/>
    <w:rsid w:val="00C627D1"/>
    <w:rsid w:val="00C62FB0"/>
    <w:rsid w:val="00C643E7"/>
    <w:rsid w:val="00C8210C"/>
    <w:rsid w:val="00CC1645"/>
    <w:rsid w:val="00CC2F4F"/>
    <w:rsid w:val="00CD1220"/>
    <w:rsid w:val="00CE13F6"/>
    <w:rsid w:val="00D33DDA"/>
    <w:rsid w:val="00D37EF5"/>
    <w:rsid w:val="00D7284F"/>
    <w:rsid w:val="00D85FA2"/>
    <w:rsid w:val="00DA2E92"/>
    <w:rsid w:val="00DA7DAC"/>
    <w:rsid w:val="00DB666F"/>
    <w:rsid w:val="00DF3376"/>
    <w:rsid w:val="00DF7736"/>
    <w:rsid w:val="00DF7E1E"/>
    <w:rsid w:val="00E04CFB"/>
    <w:rsid w:val="00E129EB"/>
    <w:rsid w:val="00E22602"/>
    <w:rsid w:val="00E82E83"/>
    <w:rsid w:val="00E83977"/>
    <w:rsid w:val="00EB1601"/>
    <w:rsid w:val="00EE0422"/>
    <w:rsid w:val="00EF1796"/>
    <w:rsid w:val="00EF6ED0"/>
    <w:rsid w:val="00F05553"/>
    <w:rsid w:val="00F17AA0"/>
    <w:rsid w:val="00F23B6E"/>
    <w:rsid w:val="00F25E7E"/>
    <w:rsid w:val="00F441F0"/>
    <w:rsid w:val="00F8055B"/>
    <w:rsid w:val="00F84F38"/>
    <w:rsid w:val="00FA086F"/>
    <w:rsid w:val="00FA1B67"/>
    <w:rsid w:val="00FB0824"/>
    <w:rsid w:val="00FB09EB"/>
    <w:rsid w:val="00FC029D"/>
    <w:rsid w:val="00FC782B"/>
    <w:rsid w:val="00FD2F22"/>
    <w:rsid w:val="00FE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12"/>
    <w:rPr>
      <w:sz w:val="24"/>
      <w:szCs w:val="24"/>
    </w:rPr>
  </w:style>
  <w:style w:type="paragraph" w:styleId="Heading1">
    <w:name w:val="heading 1"/>
    <w:basedOn w:val="Normal"/>
    <w:next w:val="Normal"/>
    <w:qFormat/>
    <w:rsid w:val="00685CED"/>
    <w:pPr>
      <w:keepNext/>
      <w:outlineLvl w:val="0"/>
    </w:pPr>
    <w:rPr>
      <w:rFonts w:ascii="Courier New" w:hAnsi="Courier New"/>
      <w:lang w:val="en-AU"/>
    </w:rPr>
  </w:style>
  <w:style w:type="paragraph" w:styleId="Heading2">
    <w:name w:val="heading 2"/>
    <w:basedOn w:val="Normal"/>
    <w:next w:val="Normal"/>
    <w:qFormat/>
    <w:rsid w:val="00685CED"/>
    <w:pPr>
      <w:keepNext/>
      <w:tabs>
        <w:tab w:val="left" w:pos="5954"/>
      </w:tabs>
      <w:outlineLvl w:val="1"/>
    </w:pPr>
    <w:rPr>
      <w:rFonts w:ascii="Courier New" w:hAnsi="Courier New"/>
      <w:b/>
      <w:lang w:val="en-AU"/>
    </w:rPr>
  </w:style>
  <w:style w:type="character" w:default="1" w:styleId="DefaultParagraphFont">
    <w:name w:val="Default Paragraph Font"/>
    <w:semiHidden/>
    <w:rsid w:val="00685CED"/>
  </w:style>
  <w:style w:type="table" w:default="1" w:styleId="TableNormal">
    <w:name w:val="Normal Table"/>
    <w:semiHidden/>
    <w:rsid w:val="00685CED"/>
    <w:tblPr>
      <w:tblInd w:w="0" w:type="dxa"/>
      <w:tblCellMar>
        <w:top w:w="0" w:type="dxa"/>
        <w:left w:w="108" w:type="dxa"/>
        <w:bottom w:w="0" w:type="dxa"/>
        <w:right w:w="108" w:type="dxa"/>
      </w:tblCellMar>
    </w:tblPr>
  </w:style>
  <w:style w:type="numbering" w:default="1" w:styleId="NoList">
    <w:name w:val="No List"/>
    <w:semiHidden/>
    <w:rsid w:val="00685CED"/>
  </w:style>
  <w:style w:type="paragraph" w:customStyle="1" w:styleId="companyname">
    <w:name w:val="companyname"/>
    <w:basedOn w:val="headmatter"/>
    <w:rsid w:val="00685CED"/>
    <w:pPr>
      <w:spacing w:line="240" w:lineRule="auto"/>
      <w:jc w:val="center"/>
    </w:pPr>
    <w:rPr>
      <w:rFonts w:ascii="Arial" w:hAnsi="Arial"/>
      <w:b/>
      <w:i/>
      <w:sz w:val="42"/>
    </w:rPr>
  </w:style>
  <w:style w:type="paragraph" w:customStyle="1" w:styleId="headmatter">
    <w:name w:val="headmatter"/>
    <w:basedOn w:val="Normal"/>
    <w:rsid w:val="00685CED"/>
    <w:pPr>
      <w:tabs>
        <w:tab w:val="center" w:pos="5103"/>
        <w:tab w:val="right" w:pos="9639"/>
      </w:tabs>
      <w:spacing w:line="240" w:lineRule="exact"/>
    </w:pPr>
  </w:style>
  <w:style w:type="paragraph" w:styleId="BodyText">
    <w:name w:val="Body Text"/>
    <w:basedOn w:val="Normal"/>
    <w:rsid w:val="00685CED"/>
    <w:pPr>
      <w:tabs>
        <w:tab w:val="left" w:pos="5954"/>
      </w:tabs>
    </w:pPr>
    <w:rPr>
      <w:rFonts w:ascii="Courier New" w:hAnsi="Courier New"/>
      <w:lang w:val="en-AU"/>
    </w:rPr>
  </w:style>
  <w:style w:type="paragraph" w:styleId="Header">
    <w:name w:val="header"/>
    <w:basedOn w:val="Normal"/>
    <w:rsid w:val="00685CED"/>
    <w:pPr>
      <w:tabs>
        <w:tab w:val="center" w:pos="4320"/>
        <w:tab w:val="right" w:pos="8640"/>
      </w:tabs>
    </w:pPr>
  </w:style>
  <w:style w:type="character" w:styleId="PageNumber">
    <w:name w:val="page number"/>
    <w:basedOn w:val="DefaultParagraphFont"/>
    <w:rsid w:val="00685CED"/>
  </w:style>
  <w:style w:type="table" w:styleId="TableGrid">
    <w:name w:val="Table Grid"/>
    <w:basedOn w:val="TableNormal"/>
    <w:rsid w:val="00685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85CED"/>
    <w:pPr>
      <w:tabs>
        <w:tab w:val="center" w:pos="4320"/>
        <w:tab w:val="right" w:pos="8640"/>
      </w:tabs>
    </w:pPr>
  </w:style>
  <w:style w:type="paragraph" w:styleId="BalloonText">
    <w:name w:val="Balloon Text"/>
    <w:basedOn w:val="Normal"/>
    <w:semiHidden/>
    <w:rsid w:val="00685CED"/>
    <w:rPr>
      <w:rFonts w:ascii="Tahoma" w:hAnsi="Tahoma" w:cs="Tahoma"/>
      <w:sz w:val="16"/>
      <w:szCs w:val="16"/>
    </w:rPr>
  </w:style>
  <w:style w:type="paragraph" w:customStyle="1" w:styleId="ORef">
    <w:name w:val="ORef"/>
    <w:basedOn w:val="Normal"/>
    <w:rsid w:val="00E04CFB"/>
    <w:pPr>
      <w:tabs>
        <w:tab w:val="left" w:pos="5954"/>
      </w:tabs>
    </w:pPr>
    <w:rPr>
      <w:lang w:val="en-AU"/>
    </w:rPr>
  </w:style>
  <w:style w:type="paragraph" w:customStyle="1" w:styleId="Email">
    <w:name w:val="Email"/>
    <w:basedOn w:val="Normal"/>
    <w:next w:val="Normal"/>
    <w:rsid w:val="00B05C78"/>
    <w:rPr>
      <w:sz w:val="18"/>
      <w:szCs w:val="18"/>
    </w:rPr>
  </w:style>
  <w:style w:type="paragraph" w:customStyle="1" w:styleId="Signatory">
    <w:name w:val="Signatory"/>
    <w:basedOn w:val="Normal"/>
    <w:rsid w:val="00B05C78"/>
    <w:pPr>
      <w:keepNext/>
      <w:tabs>
        <w:tab w:val="left" w:pos="5954"/>
      </w:tabs>
    </w:pPr>
    <w:rPr>
      <w:b/>
      <w:lang w:val="en-AU"/>
    </w:rPr>
  </w:style>
  <w:style w:type="character" w:styleId="Hyperlink">
    <w:name w:val="Hyperlink"/>
    <w:basedOn w:val="DefaultParagraphFont"/>
    <w:rsid w:val="008C0B12"/>
    <w:rPr>
      <w:color w:val="0000FF"/>
      <w:u w:val="single"/>
    </w:rPr>
  </w:style>
  <w:style w:type="paragraph" w:styleId="NormalWeb">
    <w:name w:val="Normal (Web)"/>
    <w:basedOn w:val="Normal"/>
    <w:rsid w:val="008C0B12"/>
    <w:pPr>
      <w:spacing w:before="100" w:beforeAutospacing="1" w:after="100" w:afterAutospacing="1"/>
    </w:pPr>
    <w:rPr>
      <w:lang w:val="en-AU" w:eastAsia="en-AU"/>
    </w:rPr>
  </w:style>
  <w:style w:type="paragraph" w:styleId="FootnoteText">
    <w:name w:val="footnote text"/>
    <w:basedOn w:val="Normal"/>
    <w:semiHidden/>
    <w:rsid w:val="008C0B12"/>
    <w:rPr>
      <w:sz w:val="20"/>
      <w:szCs w:val="20"/>
    </w:rPr>
  </w:style>
  <w:style w:type="character" w:styleId="FootnoteReference">
    <w:name w:val="footnote reference"/>
    <w:basedOn w:val="DefaultParagraphFont"/>
    <w:semiHidden/>
    <w:rsid w:val="008C0B12"/>
    <w:rPr>
      <w:vertAlign w:val="superscript"/>
    </w:rPr>
  </w:style>
  <w:style w:type="paragraph" w:customStyle="1" w:styleId="Default">
    <w:name w:val="Default"/>
    <w:rsid w:val="008C0B12"/>
    <w:pPr>
      <w:autoSpaceDE w:val="0"/>
      <w:autoSpaceDN w:val="0"/>
      <w:adjustRightInd w:val="0"/>
    </w:pPr>
    <w:rPr>
      <w:rFonts w:ascii="Optima" w:hAnsi="Optima" w:cs="Optima"/>
      <w:color w:val="000000"/>
      <w:sz w:val="24"/>
      <w:szCs w:val="24"/>
      <w:lang w:val="en-AU" w:eastAsia="en-AU"/>
    </w:rPr>
  </w:style>
  <w:style w:type="paragraph" w:customStyle="1" w:styleId="date1">
    <w:name w:val="date1"/>
    <w:basedOn w:val="Normal"/>
    <w:rsid w:val="008C0B12"/>
    <w:pPr>
      <w:jc w:val="center"/>
    </w:pPr>
    <w:rPr>
      <w:color w:val="000000"/>
      <w:sz w:val="20"/>
      <w:szCs w:val="20"/>
      <w:lang w:val="en-AU" w:eastAsia="en-AU"/>
    </w:rPr>
  </w:style>
</w:styles>
</file>

<file path=word/webSettings.xml><?xml version="1.0" encoding="utf-8"?>
<w:webSettings xmlns:r="http://schemas.openxmlformats.org/officeDocument/2006/relationships" xmlns:w="http://schemas.openxmlformats.org/wordprocessingml/2006/main">
  <w:divs>
    <w:div w:id="18224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viewtop/inforce/act+28+2005+FIRS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nsw.gov.au/viewtop/inforce/subordleg+01+1970+FIRST+0+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Local_Court_of_New_South_Wales" TargetMode="External"/><Relationship Id="rId4" Type="http://schemas.openxmlformats.org/officeDocument/2006/relationships/webSettings" Target="webSettings.xml"/><Relationship Id="rId9" Type="http://schemas.openxmlformats.org/officeDocument/2006/relationships/hyperlink" Target="http://en.wikipedia.org/wiki/District_Court_of_New_South_Wal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judcom.nsw.gov.au/benchbks/civil/calderbank_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THOMPSON COOPER LAWYERS</vt:lpstr>
    </vt:vector>
  </TitlesOfParts>
  <Company/>
  <LinksUpToDate>false</LinksUpToDate>
  <CharactersWithSpaces>19620</CharactersWithSpaces>
  <SharedDoc>false</SharedDoc>
  <HLinks>
    <vt:vector size="30" baseType="variant">
      <vt:variant>
        <vt:i4>5505068</vt:i4>
      </vt:variant>
      <vt:variant>
        <vt:i4>9</vt:i4>
      </vt:variant>
      <vt:variant>
        <vt:i4>0</vt:i4>
      </vt:variant>
      <vt:variant>
        <vt:i4>5</vt:i4>
      </vt:variant>
      <vt:variant>
        <vt:lpwstr>http://en.wikipedia.org/wiki/Local_Court_of_New_South_Wales</vt:lpwstr>
      </vt:variant>
      <vt:variant>
        <vt:lpwstr/>
      </vt:variant>
      <vt:variant>
        <vt:i4>8192029</vt:i4>
      </vt:variant>
      <vt:variant>
        <vt:i4>6</vt:i4>
      </vt:variant>
      <vt:variant>
        <vt:i4>0</vt:i4>
      </vt:variant>
      <vt:variant>
        <vt:i4>5</vt:i4>
      </vt:variant>
      <vt:variant>
        <vt:lpwstr>http://en.wikipedia.org/wiki/District_Court_of_New_South_Wales</vt:lpwstr>
      </vt:variant>
      <vt:variant>
        <vt:lpwstr/>
      </vt:variant>
      <vt:variant>
        <vt:i4>786516</vt:i4>
      </vt:variant>
      <vt:variant>
        <vt:i4>3</vt:i4>
      </vt:variant>
      <vt:variant>
        <vt:i4>0</vt:i4>
      </vt:variant>
      <vt:variant>
        <vt:i4>5</vt:i4>
      </vt:variant>
      <vt:variant>
        <vt:lpwstr>http://www.legislation.nsw.gov.au/viewtop/inforce/act+28+2005+FIRST+0+N/</vt:lpwstr>
      </vt:variant>
      <vt:variant>
        <vt:lpwstr/>
      </vt:variant>
      <vt:variant>
        <vt:i4>7929895</vt:i4>
      </vt:variant>
      <vt:variant>
        <vt:i4>0</vt:i4>
      </vt:variant>
      <vt:variant>
        <vt:i4>0</vt:i4>
      </vt:variant>
      <vt:variant>
        <vt:i4>5</vt:i4>
      </vt:variant>
      <vt:variant>
        <vt:lpwstr>http://www.legislation.nsw.gov.au/viewtop/inforce/subordleg+01+1970+FIRST+0+N/</vt:lpwstr>
      </vt:variant>
      <vt:variant>
        <vt:lpwstr/>
      </vt:variant>
      <vt:variant>
        <vt:i4>7602179</vt:i4>
      </vt:variant>
      <vt:variant>
        <vt:i4>0</vt:i4>
      </vt:variant>
      <vt:variant>
        <vt:i4>0</vt:i4>
      </vt:variant>
      <vt:variant>
        <vt:i4>5</vt:i4>
      </vt:variant>
      <vt:variant>
        <vt:lpwstr>http://www.judcom.nsw.gov.au/benchbks/civil/calderbank_letters.html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COOPER LAWYERS</dc:title>
  <dc:creator>ls</dc:creator>
  <cp:lastModifiedBy>newuser</cp:lastModifiedBy>
  <cp:revision>2</cp:revision>
  <cp:lastPrinted>2009-08-27T04:17:00Z</cp:lastPrinted>
  <dcterms:created xsi:type="dcterms:W3CDTF">2012-12-12T18:12:00Z</dcterms:created>
  <dcterms:modified xsi:type="dcterms:W3CDTF">2012-12-12T18:12:00Z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General Letterhead.dot</vt:lpwstr>
  </property>
  <property fmtid="{D5CDD505-2E9C-101B-9397-08002B2CF9AE}" pid="3" name="DM_AUTHOR">
    <vt:lpwstr>ANN</vt:lpwstr>
  </property>
  <property fmtid="{D5CDD505-2E9C-101B-9397-08002B2CF9AE}" pid="4" name="DM_CLIENTGROUP">
    <vt:lpwstr/>
  </property>
  <property fmtid="{D5CDD505-2E9C-101B-9397-08002B2CF9AE}" pid="5" name="DM_CLIENT">
    <vt:lpwstr/>
  </property>
  <property fmtid="{D5CDD505-2E9C-101B-9397-08002B2CF9AE}" pid="6" name="DM_YEAR">
    <vt:lpwstr/>
  </property>
  <property fmtid="{D5CDD505-2E9C-101B-9397-08002B2CF9AE}" pid="7" name="DM_MATTER">
    <vt:lpwstr>20268</vt:lpwstr>
  </property>
  <property fmtid="{D5CDD505-2E9C-101B-9397-08002B2CF9AE}" pid="8" name="DM_OPERATOR">
    <vt:lpwstr/>
  </property>
  <property fmtid="{D5CDD505-2E9C-101B-9397-08002B2CF9AE}" pid="9" name="DM_DESCRIPTION">
    <vt:lpwstr>Publication: The NSW Court System </vt:lpwstr>
  </property>
  <property fmtid="{D5CDD505-2E9C-101B-9397-08002B2CF9AE}" pid="10" name="_AdHocReviewCycleID">
    <vt:i4>-1051530995</vt:i4>
  </property>
  <property fmtid="{D5CDD505-2E9C-101B-9397-08002B2CF9AE}" pid="11" name="_EmailSubject">
    <vt:lpwstr>Thompson Cooper website update - Job 49714</vt:lpwstr>
  </property>
  <property fmtid="{D5CDD505-2E9C-101B-9397-08002B2CF9AE}" pid="12" name="_AuthorEmail">
    <vt:lpwstr>aobrien@tclawyers.com.au</vt:lpwstr>
  </property>
  <property fmtid="{D5CDD505-2E9C-101B-9397-08002B2CF9AE}" pid="13" name="_AuthorEmailDisplayName">
    <vt:lpwstr>Aleita O'brien</vt:lpwstr>
  </property>
  <property fmtid="{D5CDD505-2E9C-101B-9397-08002B2CF9AE}" pid="14" name="_ReviewingToolsShownOnce">
    <vt:lpwstr/>
  </property>
</Properties>
</file>